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246EDA20" w:rsidR="001B1D19" w:rsidRDefault="00393253" w:rsidP="00831D77">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831D77">
        <w:t>Paper 5.</w:t>
      </w:r>
      <w:r w:rsidR="005F6BA4">
        <w:t>4b</w:t>
      </w:r>
      <w:r w:rsidR="00831D77">
        <w:t xml:space="preserve"> HSC 2</w:t>
      </w:r>
      <w:r w:rsidR="005F6BA4">
        <w:t>7</w:t>
      </w:r>
      <w:r w:rsidR="00831D77">
        <w:t>.0</w:t>
      </w:r>
      <w:r w:rsidR="005F6BA4">
        <w:t>5</w:t>
      </w:r>
      <w:r w:rsidR="00831D77">
        <w:t>.2026</w:t>
      </w:r>
    </w:p>
    <w:p w14:paraId="06EA2D0A" w14:textId="294E999D" w:rsidR="00975DA2" w:rsidRPr="001D2816" w:rsidRDefault="001B1D19" w:rsidP="060A5F01">
      <w:pPr>
        <w:jc w:val="center"/>
      </w:pPr>
      <w:r w:rsidRPr="060A5F01">
        <w:rPr>
          <w:rFonts w:ascii="Arial" w:hAnsi="Arial" w:cs="Arial"/>
          <w:b/>
          <w:bCs/>
          <w:sz w:val="44"/>
          <w:szCs w:val="44"/>
        </w:rPr>
        <w:t xml:space="preserve">                              </w:t>
      </w:r>
      <w:r w:rsidR="00393253" w:rsidRPr="060A5F01">
        <w:rPr>
          <w:b/>
          <w:bCs/>
          <w:sz w:val="44"/>
          <w:szCs w:val="44"/>
        </w:rPr>
        <w:t>Equality Impact Assessment Form (</w:t>
      </w:r>
      <w:proofErr w:type="spellStart"/>
      <w:r w:rsidR="00393253" w:rsidRPr="060A5F01">
        <w:rPr>
          <w:b/>
          <w:bCs/>
          <w:sz w:val="44"/>
          <w:szCs w:val="44"/>
        </w:rPr>
        <w:t>EqIA</w:t>
      </w:r>
      <w:proofErr w:type="spellEnd"/>
      <w:r w:rsidR="00393253" w:rsidRPr="060A5F01">
        <w:rPr>
          <w:b/>
          <w:bCs/>
          <w:sz w:val="44"/>
          <w:szCs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636A7984" w:rsidR="00137FBA" w:rsidRDefault="005F6BA4" w:rsidP="0039218C">
            <w:pPr>
              <w:rPr>
                <w:rFonts w:cstheme="minorHAnsi"/>
                <w:b/>
                <w:sz w:val="28"/>
              </w:rPr>
            </w:pPr>
            <w:r>
              <w:rPr>
                <w:rFonts w:cstheme="minorHAnsi"/>
                <w:b/>
                <w:sz w:val="28"/>
              </w:rPr>
              <w:t>Suspicious Persons</w:t>
            </w:r>
            <w:r w:rsidR="009D2F48">
              <w:rPr>
                <w:rFonts w:cstheme="minorHAnsi"/>
                <w:b/>
                <w:sz w:val="28"/>
              </w:rPr>
              <w:t>.</w:t>
            </w:r>
            <w:r w:rsidR="00D65459">
              <w:rPr>
                <w:rFonts w:cstheme="minorHAnsi"/>
                <w:b/>
                <w:sz w:val="28"/>
              </w:rPr>
              <w:t xml:space="preserve"> (Health and Safety)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36BFAC64" w:rsidR="00907FCC" w:rsidRDefault="00577A29" w:rsidP="0039218C">
            <w:pPr>
              <w:rPr>
                <w:rFonts w:cstheme="minorHAnsi"/>
                <w:b/>
                <w:sz w:val="28"/>
              </w:rPr>
            </w:pPr>
            <w:r>
              <w:rPr>
                <w:rFonts w:cstheme="minorHAnsi"/>
                <w:b/>
                <w:sz w:val="28"/>
              </w:rPr>
              <w:t>New</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7DB1A7AB"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35861D11" w:rsidR="00907FCC" w:rsidRDefault="00577A29" w:rsidP="0039218C">
            <w:pPr>
              <w:rPr>
                <w:rFonts w:cstheme="minorHAnsi"/>
                <w:b/>
                <w:sz w:val="28"/>
              </w:rPr>
            </w:pPr>
            <w:r>
              <w:rPr>
                <w:rFonts w:cstheme="minorHAnsi"/>
                <w:b/>
                <w:sz w:val="28"/>
              </w:rPr>
              <w:t>13</w:t>
            </w:r>
            <w:r w:rsidR="00E32F64">
              <w:rPr>
                <w:rFonts w:cstheme="minorHAnsi"/>
                <w:b/>
                <w:sz w:val="28"/>
              </w:rPr>
              <w:t>/</w:t>
            </w:r>
            <w:r w:rsidR="00FD06BE">
              <w:rPr>
                <w:rFonts w:cstheme="minorHAnsi"/>
                <w:b/>
                <w:sz w:val="28"/>
              </w:rPr>
              <w:t>0</w:t>
            </w:r>
            <w:r>
              <w:rPr>
                <w:rFonts w:cstheme="minorHAnsi"/>
                <w:b/>
                <w:sz w:val="28"/>
              </w:rPr>
              <w:t>4</w:t>
            </w:r>
            <w:r w:rsidR="00E32F64">
              <w:rPr>
                <w:rFonts w:cstheme="minorHAnsi"/>
                <w:b/>
                <w:sz w:val="28"/>
              </w:rPr>
              <w:t>/</w:t>
            </w:r>
            <w:r w:rsidR="00A63D0B">
              <w:rPr>
                <w:rFonts w:cstheme="minorHAnsi"/>
                <w:b/>
                <w:sz w:val="28"/>
              </w:rPr>
              <w:t>20</w:t>
            </w:r>
            <w:r w:rsidR="00E32F64">
              <w:rPr>
                <w:rFonts w:cstheme="minorHAnsi"/>
                <w:b/>
                <w:sz w:val="28"/>
              </w:rPr>
              <w:t>2</w:t>
            </w:r>
            <w:r w:rsidR="00846F98">
              <w:rPr>
                <w:rFonts w:cstheme="minorHAnsi"/>
                <w:b/>
                <w:sz w:val="28"/>
              </w:rPr>
              <w:t>6</w:t>
            </w:r>
          </w:p>
        </w:tc>
      </w:tr>
    </w:tbl>
    <w:p w14:paraId="2AD0C296" w14:textId="77777777" w:rsidR="00907FCC" w:rsidRDefault="00907FCC" w:rsidP="0039218C">
      <w:pPr>
        <w:rPr>
          <w:rFonts w:cstheme="minorHAnsi"/>
          <w:b/>
          <w:sz w:val="28"/>
        </w:rPr>
      </w:pPr>
    </w:p>
    <w:tbl>
      <w:tblPr>
        <w:tblStyle w:val="TableGrid"/>
        <w:tblW w:w="15388" w:type="dxa"/>
        <w:tblLayout w:type="fixed"/>
        <w:tblLook w:val="04A0" w:firstRow="1" w:lastRow="0" w:firstColumn="1" w:lastColumn="0" w:noHBand="0" w:noVBand="1"/>
      </w:tblPr>
      <w:tblGrid>
        <w:gridCol w:w="3114"/>
        <w:gridCol w:w="733"/>
        <w:gridCol w:w="3847"/>
        <w:gridCol w:w="381"/>
        <w:gridCol w:w="3466"/>
        <w:gridCol w:w="1354"/>
        <w:gridCol w:w="2493"/>
      </w:tblGrid>
      <w:tr w:rsidR="000110A8" w14:paraId="4B053919" w14:textId="77777777" w:rsidTr="00AF133F">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AF133F">
        <w:tc>
          <w:tcPr>
            <w:tcW w:w="15388" w:type="dxa"/>
            <w:gridSpan w:val="7"/>
          </w:tcPr>
          <w:p w14:paraId="03506FFE" w14:textId="77777777" w:rsidR="00493FB3" w:rsidRDefault="00555503" w:rsidP="00C855E7">
            <w:pPr>
              <w:jc w:val="both"/>
            </w:pPr>
            <w:r w:rsidRPr="00483D75">
              <w:t xml:space="preserve">The purpose of this </w:t>
            </w:r>
            <w:r>
              <w:t>Guidance document</w:t>
            </w:r>
            <w:r w:rsidR="00C855E7">
              <w:t xml:space="preserve"> is to </w:t>
            </w:r>
            <w:r w:rsidR="00BD0160">
              <w:t>provide information and support for</w:t>
            </w:r>
            <w:r w:rsidR="00B753FB">
              <w:t xml:space="preserve"> students and staff </w:t>
            </w:r>
            <w:r w:rsidR="006F1F16">
              <w:t xml:space="preserve">on what to do if they think that someone is acting suspiciously on or around GSA property or </w:t>
            </w:r>
            <w:r w:rsidR="009C52DC">
              <w:t>offsite activities</w:t>
            </w:r>
            <w:r w:rsidRPr="00483D75">
              <w:t>.</w:t>
            </w:r>
            <w:r w:rsidRPr="00B038AB">
              <w:t xml:space="preserve"> </w:t>
            </w:r>
          </w:p>
          <w:p w14:paraId="352C1567" w14:textId="36E0B724" w:rsidR="0010435C" w:rsidRPr="00D94736" w:rsidRDefault="0010435C" w:rsidP="0010435C">
            <w:pPr>
              <w:rPr>
                <w:rFonts w:cstheme="minorHAnsi"/>
              </w:rPr>
            </w:pPr>
            <w:r>
              <w:rPr>
                <w:rFonts w:cstheme="minorHAnsi"/>
              </w:rPr>
              <w:t xml:space="preserve">It is recognised in the document that suspicious behaviour is somewhat subjective.  This document also provides students and staff with examples of what might constitute suspicious behaviour requiring further action. </w:t>
            </w:r>
          </w:p>
          <w:p w14:paraId="47F3FA24" w14:textId="77777777" w:rsidR="00C855E7" w:rsidRDefault="00C855E7" w:rsidP="00C855E7">
            <w:pPr>
              <w:jc w:val="both"/>
            </w:pPr>
          </w:p>
          <w:p w14:paraId="28041F09" w14:textId="5D50A6D2" w:rsidR="00555503" w:rsidRDefault="00366FD5" w:rsidP="00C855E7">
            <w:pPr>
              <w:jc w:val="both"/>
            </w:pPr>
            <w:r>
              <w:t>I</w:t>
            </w:r>
            <w:r w:rsidR="00C855E7">
              <w:t xml:space="preserve">t is important that </w:t>
            </w:r>
            <w:r w:rsidR="00493FB3">
              <w:t>students and staff</w:t>
            </w:r>
            <w:r w:rsidR="00C855E7">
              <w:t xml:space="preserve"> do not put </w:t>
            </w:r>
            <w:r w:rsidR="00493FB3">
              <w:t>themselves</w:t>
            </w:r>
            <w:r w:rsidR="00C855E7">
              <w:t xml:space="preserve"> at increased risk while </w:t>
            </w:r>
            <w:r>
              <w:t>investigating suspicious behaviours</w:t>
            </w:r>
            <w:r w:rsidR="00C855E7">
              <w:t xml:space="preserve">.  This </w:t>
            </w:r>
            <w:r w:rsidR="00710D44">
              <w:t>document</w:t>
            </w:r>
            <w:r w:rsidR="00C855E7">
              <w:t xml:space="preserve"> offers some practical tips to everyone when approaching a person who is acting suspiciously.</w:t>
            </w:r>
          </w:p>
          <w:p w14:paraId="7B276235" w14:textId="77777777" w:rsidR="006F7258" w:rsidRDefault="006F7258" w:rsidP="00C855E7">
            <w:pPr>
              <w:jc w:val="both"/>
            </w:pPr>
          </w:p>
          <w:p w14:paraId="226C472E" w14:textId="036FD400" w:rsidR="008D413F" w:rsidRPr="002C6B9F" w:rsidRDefault="008D413F" w:rsidP="0010435C">
            <w:pPr>
              <w:rPr>
                <w:rFonts w:cstheme="minorHAnsi"/>
              </w:rPr>
            </w:pPr>
          </w:p>
        </w:tc>
      </w:tr>
      <w:tr w:rsidR="000110A8" w14:paraId="3FDAEEF6" w14:textId="77777777" w:rsidTr="00AF133F">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AF133F">
        <w:tc>
          <w:tcPr>
            <w:tcW w:w="15388" w:type="dxa"/>
            <w:gridSpan w:val="7"/>
          </w:tcPr>
          <w:p w14:paraId="6CEC0EDC" w14:textId="57A63285" w:rsidR="00DF1240" w:rsidRDefault="006A0359" w:rsidP="00DF1240">
            <w:pPr>
              <w:spacing w:before="80"/>
              <w:rPr>
                <w:rFonts w:ascii="Calibri" w:eastAsia="Calibri" w:hAnsi="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w:t>
            </w:r>
            <w:r w:rsidR="00EF513A">
              <w:rPr>
                <w:rFonts w:cstheme="minorHAnsi"/>
              </w:rPr>
              <w:t>relevant Legislation and sector guidance</w:t>
            </w:r>
            <w:r w:rsidR="00FA282F">
              <w:rPr>
                <w:rFonts w:ascii="Calibri" w:eastAsia="Calibri" w:hAnsi="Calibri" w:cs="Calibri"/>
              </w:rPr>
              <w:t xml:space="preserve">  </w:t>
            </w:r>
          </w:p>
          <w:p w14:paraId="19C0D7AF" w14:textId="77777777" w:rsidR="005B577F" w:rsidRDefault="005B577F" w:rsidP="0081483D">
            <w:pPr>
              <w:rPr>
                <w:rFonts w:ascii="Calibri" w:eastAsia="Calibri" w:hAnsi="Calibri" w:cs="Calibri"/>
                <w:color w:val="000000"/>
              </w:rPr>
            </w:pPr>
          </w:p>
          <w:p w14:paraId="5086AE09" w14:textId="77777777" w:rsidR="000644CA" w:rsidRPr="000644CA" w:rsidRDefault="000644CA" w:rsidP="000644CA">
            <w:pPr>
              <w:jc w:val="both"/>
              <w:rPr>
                <w:rFonts w:ascii="Calibri" w:eastAsia="DengXian" w:hAnsi="Calibri" w:cs="Calibri"/>
                <w:noProof/>
                <w:kern w:val="2"/>
                <w:lang w:eastAsia="en-GB"/>
                <w14:ligatures w14:val="standardContextual"/>
              </w:rPr>
            </w:pPr>
            <w:r w:rsidRPr="000644CA">
              <w:rPr>
                <w:rFonts w:ascii="Calibri" w:eastAsia="DengXian" w:hAnsi="Calibri" w:cs="Calibri"/>
                <w:noProof/>
                <w:kern w:val="2"/>
                <w:lang w:eastAsia="en-GB"/>
                <w14:ligatures w14:val="standardContextual"/>
              </w:rPr>
              <w:t xml:space="preserve">Action Counters Terrorism.  Protect UK </w:t>
            </w:r>
            <w:hyperlink r:id="rId13" w:history="1">
              <w:r w:rsidRPr="000644CA">
                <w:rPr>
                  <w:rFonts w:ascii="Calibri" w:eastAsia="DengXian" w:hAnsi="Calibri" w:cs="Calibri"/>
                  <w:noProof/>
                  <w:color w:val="0563C1" w:themeColor="hyperlink"/>
                  <w:kern w:val="2"/>
                  <w:u w:val="single"/>
                  <w:lang w:eastAsia="en-GB"/>
                  <w14:ligatures w14:val="standardContextual"/>
                </w:rPr>
                <w:t>Suspicious activity</w:t>
              </w:r>
            </w:hyperlink>
          </w:p>
          <w:p w14:paraId="59CF65A9" w14:textId="77777777" w:rsidR="000644CA" w:rsidRPr="000644CA" w:rsidRDefault="000644CA" w:rsidP="000644CA">
            <w:pPr>
              <w:jc w:val="both"/>
              <w:rPr>
                <w:rFonts w:ascii="Calibri" w:eastAsia="DengXian" w:hAnsi="Calibri" w:cs="Calibri"/>
                <w:noProof/>
                <w:kern w:val="2"/>
                <w:lang w:eastAsia="en-GB"/>
                <w14:ligatures w14:val="standardContextual"/>
              </w:rPr>
            </w:pPr>
            <w:r w:rsidRPr="000644CA">
              <w:rPr>
                <w:rFonts w:ascii="Calibri" w:eastAsia="DengXian" w:hAnsi="Calibri" w:cs="Calibri"/>
                <w:noProof/>
                <w:kern w:val="2"/>
                <w:lang w:eastAsia="en-GB"/>
                <w14:ligatures w14:val="standardContextual"/>
              </w:rPr>
              <w:t xml:space="preserve">University of Bristol, Security Services, </w:t>
            </w:r>
            <w:hyperlink r:id="rId14" w:history="1">
              <w:r w:rsidRPr="000644CA">
                <w:rPr>
                  <w:rFonts w:ascii="Calibri" w:eastAsia="DengXian" w:hAnsi="Calibri" w:cs="Calibri"/>
                  <w:noProof/>
                  <w:color w:val="0563C1" w:themeColor="hyperlink"/>
                  <w:kern w:val="2"/>
                  <w:u w:val="single"/>
                  <w:lang w:eastAsia="en-GB"/>
                  <w14:ligatures w14:val="standardContextual"/>
                </w:rPr>
                <w:t>Challenging strangers</w:t>
              </w:r>
            </w:hyperlink>
            <w:r w:rsidRPr="000644CA">
              <w:rPr>
                <w:rFonts w:ascii="Calibri" w:eastAsia="DengXian" w:hAnsi="Calibri" w:cs="Calibri"/>
                <w:noProof/>
                <w:kern w:val="2"/>
                <w:lang w:eastAsia="en-GB"/>
                <w14:ligatures w14:val="standardContextual"/>
              </w:rPr>
              <w:t>.</w:t>
            </w:r>
          </w:p>
          <w:p w14:paraId="532188AB" w14:textId="047BEECC" w:rsidR="000644CA" w:rsidRDefault="000644CA" w:rsidP="000644CA">
            <w:pPr>
              <w:rPr>
                <w:rFonts w:ascii="Calibri" w:eastAsia="Calibri" w:hAnsi="Calibri" w:cs="Calibri"/>
                <w:color w:val="000000"/>
              </w:rPr>
            </w:pPr>
            <w:r w:rsidRPr="000644CA">
              <w:rPr>
                <w:rFonts w:ascii="Calibri" w:eastAsia="DengXian" w:hAnsi="Calibri" w:cs="Calibri"/>
                <w:noProof/>
                <w:kern w:val="2"/>
                <w:lang w:eastAsia="en-GB"/>
                <w14:ligatures w14:val="standardContextual"/>
              </w:rPr>
              <w:t xml:space="preserve">University of the Arts, London.  </w:t>
            </w:r>
            <w:hyperlink r:id="rId15" w:history="1">
              <w:r w:rsidRPr="000644CA">
                <w:rPr>
                  <w:rFonts w:ascii="Calibri" w:eastAsia="DengXian" w:hAnsi="Calibri" w:cs="Calibri"/>
                  <w:noProof/>
                  <w:color w:val="0563C1" w:themeColor="hyperlink"/>
                  <w:kern w:val="2"/>
                  <w:u w:val="single"/>
                  <w:lang w:eastAsia="en-GB"/>
                  <w14:ligatures w14:val="standardContextual"/>
                </w:rPr>
                <w:t>Suspicious Activity</w:t>
              </w:r>
            </w:hyperlink>
          </w:p>
          <w:p w14:paraId="0C66BFDB" w14:textId="77777777" w:rsidR="000644CA" w:rsidRDefault="000644CA" w:rsidP="0081483D">
            <w:pPr>
              <w:rPr>
                <w:rFonts w:ascii="Calibri" w:eastAsia="Calibri" w:hAnsi="Calibri" w:cs="Calibri"/>
                <w:color w:val="000000"/>
              </w:rPr>
            </w:pPr>
          </w:p>
          <w:p w14:paraId="31334B00" w14:textId="7A683FDB" w:rsidR="006449EE" w:rsidRDefault="006449EE" w:rsidP="0081483D">
            <w:pPr>
              <w:rPr>
                <w:rFonts w:cstheme="minorHAnsi"/>
              </w:rPr>
            </w:pPr>
            <w:r w:rsidRPr="00D94736">
              <w:rPr>
                <w:rFonts w:cstheme="minorHAnsi"/>
              </w:rPr>
              <w:t xml:space="preserve">All Health and Safety Policy is written </w:t>
            </w:r>
            <w:r w:rsidR="001447D7" w:rsidRPr="00D94736">
              <w:rPr>
                <w:rFonts w:cstheme="minorHAnsi"/>
              </w:rPr>
              <w:t xml:space="preserve">with the provisions and requirements of the </w:t>
            </w:r>
            <w:r w:rsidR="00504781" w:rsidRPr="00D94736">
              <w:rPr>
                <w:rFonts w:cstheme="minorHAnsi"/>
              </w:rPr>
              <w:t>Equalities</w:t>
            </w:r>
            <w:r w:rsidR="001447D7" w:rsidRPr="00D94736">
              <w:rPr>
                <w:rFonts w:cstheme="minorHAnsi"/>
              </w:rPr>
              <w:t xml:space="preserve"> Act </w:t>
            </w:r>
            <w:r w:rsidR="00504781" w:rsidRPr="00D94736">
              <w:rPr>
                <w:rFonts w:cstheme="minorHAnsi"/>
              </w:rPr>
              <w:t xml:space="preserve">2010 in mind and with the aim of </w:t>
            </w:r>
            <w:r w:rsidR="009B21FA" w:rsidRPr="00D94736">
              <w:rPr>
                <w:rFonts w:cstheme="minorHAnsi"/>
              </w:rPr>
              <w:t>making the GSA a fair and accessible institution for all.</w:t>
            </w:r>
          </w:p>
          <w:p w14:paraId="02053C7B" w14:textId="77777777" w:rsidR="00EF00A5" w:rsidRDefault="00EF00A5" w:rsidP="0081483D">
            <w:pPr>
              <w:rPr>
                <w:rFonts w:cstheme="minorHAnsi"/>
              </w:rPr>
            </w:pPr>
          </w:p>
          <w:p w14:paraId="4D0E2929" w14:textId="3AB8143B" w:rsidR="00490221" w:rsidRDefault="00490221" w:rsidP="006F7258">
            <w:pPr>
              <w:rPr>
                <w:rFonts w:cstheme="minorHAnsi"/>
                <w:b/>
                <w:sz w:val="28"/>
              </w:rPr>
            </w:pPr>
          </w:p>
        </w:tc>
      </w:tr>
      <w:tr w:rsidR="000110A8" w14:paraId="775B9AAF" w14:textId="77777777" w:rsidTr="00AF133F">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F133F">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F133F">
        <w:trPr>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6D9781B9" w:rsidR="0030112F" w:rsidRPr="00054965" w:rsidRDefault="0030112F" w:rsidP="0010550B">
            <w:pPr>
              <w:rPr>
                <w:rFonts w:cstheme="minorHAnsi"/>
                <w:sz w:val="24"/>
                <w:szCs w:val="24"/>
              </w:rPr>
            </w:pPr>
          </w:p>
        </w:tc>
        <w:tc>
          <w:tcPr>
            <w:tcW w:w="4820" w:type="dxa"/>
            <w:gridSpan w:val="2"/>
          </w:tcPr>
          <w:p w14:paraId="6590CDB9" w14:textId="7B691676" w:rsidR="00942F27" w:rsidRPr="00E21C67" w:rsidRDefault="00E64643" w:rsidP="000110A8">
            <w:pPr>
              <w:rPr>
                <w:rFonts w:cstheme="minorHAnsi"/>
                <w:bCs/>
                <w:sz w:val="24"/>
                <w:szCs w:val="24"/>
              </w:rPr>
            </w:pPr>
            <w:r w:rsidRPr="00E21C67">
              <w:rPr>
                <w:rFonts w:cstheme="minorHAnsi"/>
                <w:bCs/>
                <w:sz w:val="24"/>
                <w:szCs w:val="24"/>
              </w:rPr>
              <w:t xml:space="preserve">Older persons might be seen as suspicious </w:t>
            </w:r>
            <w:r w:rsidR="00E22303" w:rsidRPr="00E21C67">
              <w:rPr>
                <w:rFonts w:cstheme="minorHAnsi"/>
                <w:bCs/>
                <w:sz w:val="24"/>
                <w:szCs w:val="24"/>
              </w:rPr>
              <w:t>on the GSA campus</w:t>
            </w:r>
            <w:r w:rsidR="00DF5404" w:rsidRPr="00E21C67">
              <w:rPr>
                <w:rFonts w:cstheme="minorHAnsi"/>
                <w:bCs/>
                <w:sz w:val="24"/>
                <w:szCs w:val="24"/>
              </w:rPr>
              <w:t xml:space="preserve"> where the majority of student are in there 20s</w:t>
            </w:r>
            <w:r w:rsidR="00E22303" w:rsidRPr="00E21C67">
              <w:rPr>
                <w:rFonts w:cstheme="minorHAnsi"/>
                <w:bCs/>
                <w:sz w:val="24"/>
                <w:szCs w:val="24"/>
              </w:rPr>
              <w:t>.</w:t>
            </w:r>
          </w:p>
          <w:p w14:paraId="7F5B00B7" w14:textId="7D7AB01D" w:rsidR="00E22303" w:rsidRDefault="00E22303" w:rsidP="000110A8">
            <w:pPr>
              <w:rPr>
                <w:rFonts w:cstheme="minorHAnsi"/>
                <w:b/>
                <w:sz w:val="28"/>
              </w:rPr>
            </w:pPr>
            <w:r w:rsidRPr="00E21C67">
              <w:rPr>
                <w:rFonts w:cstheme="minorHAnsi"/>
                <w:bCs/>
                <w:sz w:val="24"/>
                <w:szCs w:val="24"/>
              </w:rPr>
              <w:t xml:space="preserve">The </w:t>
            </w:r>
            <w:r w:rsidR="002B02E9">
              <w:rPr>
                <w:rFonts w:cstheme="minorHAnsi"/>
                <w:bCs/>
                <w:sz w:val="24"/>
                <w:szCs w:val="24"/>
              </w:rPr>
              <w:t xml:space="preserve">guidance </w:t>
            </w:r>
            <w:r w:rsidRPr="00E21C67">
              <w:rPr>
                <w:rFonts w:cstheme="minorHAnsi"/>
                <w:bCs/>
                <w:sz w:val="24"/>
                <w:szCs w:val="24"/>
              </w:rPr>
              <w:t xml:space="preserve">document </w:t>
            </w:r>
            <w:r w:rsidR="000F1E89" w:rsidRPr="00E21C67">
              <w:rPr>
                <w:rFonts w:cstheme="minorHAnsi"/>
                <w:bCs/>
                <w:sz w:val="24"/>
                <w:szCs w:val="24"/>
              </w:rPr>
              <w:t>offsets</w:t>
            </w:r>
            <w:r w:rsidRPr="00E21C67">
              <w:rPr>
                <w:rFonts w:cstheme="minorHAnsi"/>
                <w:bCs/>
                <w:sz w:val="24"/>
                <w:szCs w:val="24"/>
              </w:rPr>
              <w:t xml:space="preserve"> this by providing </w:t>
            </w:r>
            <w:r w:rsidR="002B02E9">
              <w:rPr>
                <w:rFonts w:cstheme="minorHAnsi"/>
                <w:bCs/>
                <w:sz w:val="24"/>
                <w:szCs w:val="24"/>
              </w:rPr>
              <w:t>advice</w:t>
            </w:r>
            <w:r w:rsidR="00982668" w:rsidRPr="00E21C67">
              <w:rPr>
                <w:rFonts w:cstheme="minorHAnsi"/>
                <w:bCs/>
                <w:sz w:val="24"/>
                <w:szCs w:val="24"/>
              </w:rPr>
              <w:t xml:space="preserve"> on what might constitute suspicious behaviour a</w:t>
            </w:r>
            <w:r w:rsidR="000F1E89" w:rsidRPr="00E21C67">
              <w:rPr>
                <w:rFonts w:cstheme="minorHAnsi"/>
                <w:bCs/>
                <w:sz w:val="24"/>
                <w:szCs w:val="24"/>
              </w:rPr>
              <w:t>t</w:t>
            </w:r>
            <w:r w:rsidR="00982668" w:rsidRPr="00E21C67">
              <w:rPr>
                <w:rFonts w:cstheme="minorHAnsi"/>
                <w:bCs/>
                <w:sz w:val="24"/>
                <w:szCs w:val="24"/>
              </w:rPr>
              <w:t xml:space="preserve"> the GSA</w:t>
            </w:r>
            <w:r w:rsidR="004E719B" w:rsidRPr="00E21C67">
              <w:rPr>
                <w:rFonts w:cstheme="minorHAnsi"/>
                <w:bCs/>
                <w:sz w:val="24"/>
                <w:szCs w:val="24"/>
              </w:rPr>
              <w:t xml:space="preserve">.  The document also emphasises the need for a polite and friendly approach as the majority </w:t>
            </w:r>
            <w:r w:rsidR="006D2FA2" w:rsidRPr="00E21C67">
              <w:rPr>
                <w:rFonts w:cstheme="minorHAnsi"/>
                <w:bCs/>
                <w:sz w:val="24"/>
                <w:szCs w:val="24"/>
              </w:rPr>
              <w:t xml:space="preserve">of cases of suspicious behaviours are likely to have an innocent </w:t>
            </w:r>
            <w:r w:rsidR="00DF5404" w:rsidRPr="00E21C67">
              <w:rPr>
                <w:rFonts w:cstheme="minorHAnsi"/>
                <w:bCs/>
                <w:sz w:val="24"/>
                <w:szCs w:val="24"/>
              </w:rPr>
              <w:t>explanation</w:t>
            </w:r>
          </w:p>
        </w:tc>
        <w:tc>
          <w:tcPr>
            <w:tcW w:w="2493" w:type="dxa"/>
          </w:tcPr>
          <w:p w14:paraId="1D0C8EEE" w14:textId="478BE385" w:rsidR="00942F27" w:rsidRDefault="00942F27" w:rsidP="000110A8">
            <w:pPr>
              <w:rPr>
                <w:rFonts w:cstheme="minorHAnsi"/>
                <w:b/>
                <w:sz w:val="28"/>
              </w:rPr>
            </w:pPr>
          </w:p>
        </w:tc>
      </w:tr>
      <w:tr w:rsidR="00942F27" w14:paraId="6B4A28BE" w14:textId="77777777" w:rsidTr="00AF133F">
        <w:trPr>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F133F">
        <w:trPr>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45660028" w14:textId="27D34317" w:rsidR="005B390D" w:rsidRDefault="005B390D" w:rsidP="008175B8">
            <w:pPr>
              <w:rPr>
                <w:rFonts w:cstheme="minorHAnsi"/>
                <w:b/>
                <w:sz w:val="28"/>
              </w:rPr>
            </w:pPr>
          </w:p>
        </w:tc>
        <w:tc>
          <w:tcPr>
            <w:tcW w:w="4820" w:type="dxa"/>
            <w:gridSpan w:val="2"/>
          </w:tcPr>
          <w:p w14:paraId="7520D200" w14:textId="52D5DEB5" w:rsidR="00942F27" w:rsidRPr="00F33CAF" w:rsidRDefault="00134A47" w:rsidP="000110A8">
            <w:pPr>
              <w:rPr>
                <w:rFonts w:cstheme="minorHAnsi"/>
                <w:bCs/>
                <w:sz w:val="24"/>
                <w:szCs w:val="24"/>
              </w:rPr>
            </w:pPr>
            <w:r w:rsidRPr="00F33CAF">
              <w:rPr>
                <w:rFonts w:cstheme="minorHAnsi"/>
                <w:bCs/>
                <w:sz w:val="24"/>
                <w:szCs w:val="24"/>
              </w:rPr>
              <w:t>Some people with mental health conditions</w:t>
            </w:r>
            <w:r w:rsidR="00F442BF">
              <w:rPr>
                <w:rFonts w:cstheme="minorHAnsi"/>
                <w:bCs/>
                <w:sz w:val="24"/>
                <w:szCs w:val="24"/>
              </w:rPr>
              <w:t>,</w:t>
            </w:r>
            <w:r w:rsidRPr="00F33CAF">
              <w:rPr>
                <w:rFonts w:cstheme="minorHAnsi"/>
                <w:bCs/>
                <w:sz w:val="24"/>
                <w:szCs w:val="24"/>
              </w:rPr>
              <w:t xml:space="preserve"> </w:t>
            </w:r>
            <w:r w:rsidR="004E2DB8">
              <w:rPr>
                <w:rFonts w:cstheme="minorHAnsi"/>
                <w:bCs/>
                <w:sz w:val="24"/>
                <w:szCs w:val="24"/>
              </w:rPr>
              <w:t xml:space="preserve">learning disabilities, autism, speech or communications </w:t>
            </w:r>
            <w:r w:rsidR="00C36E8B">
              <w:rPr>
                <w:rFonts w:cstheme="minorHAnsi"/>
                <w:bCs/>
                <w:sz w:val="24"/>
                <w:szCs w:val="24"/>
              </w:rPr>
              <w:t>differences</w:t>
            </w:r>
            <w:r w:rsidR="004E2DB8">
              <w:rPr>
                <w:rFonts w:cstheme="minorHAnsi"/>
                <w:bCs/>
                <w:sz w:val="24"/>
                <w:szCs w:val="24"/>
              </w:rPr>
              <w:t xml:space="preserve"> </w:t>
            </w:r>
            <w:r w:rsidRPr="00F33CAF">
              <w:rPr>
                <w:rFonts w:cstheme="minorHAnsi"/>
                <w:bCs/>
                <w:sz w:val="24"/>
                <w:szCs w:val="24"/>
              </w:rPr>
              <w:t xml:space="preserve">may </w:t>
            </w:r>
            <w:r w:rsidR="00E17D39">
              <w:rPr>
                <w:rFonts w:cstheme="minorHAnsi"/>
                <w:bCs/>
                <w:sz w:val="24"/>
                <w:szCs w:val="24"/>
              </w:rPr>
              <w:t xml:space="preserve">behave in a manner that might attract </w:t>
            </w:r>
            <w:r w:rsidR="004E2DB8">
              <w:rPr>
                <w:rFonts w:cstheme="minorHAnsi"/>
                <w:bCs/>
                <w:sz w:val="24"/>
                <w:szCs w:val="24"/>
              </w:rPr>
              <w:t>attention and may appear uncomfortable or evasive when questioned</w:t>
            </w:r>
            <w:r w:rsidR="00E17D39">
              <w:rPr>
                <w:rFonts w:cstheme="minorHAnsi"/>
                <w:bCs/>
                <w:sz w:val="24"/>
                <w:szCs w:val="24"/>
              </w:rPr>
              <w:t xml:space="preserve">.  </w:t>
            </w:r>
            <w:r w:rsidR="00713141">
              <w:rPr>
                <w:rFonts w:cstheme="minorHAnsi"/>
                <w:bCs/>
                <w:sz w:val="24"/>
                <w:szCs w:val="24"/>
              </w:rPr>
              <w:t xml:space="preserve">The </w:t>
            </w:r>
            <w:r w:rsidR="002B02E9">
              <w:rPr>
                <w:rFonts w:cstheme="minorHAnsi"/>
                <w:bCs/>
                <w:sz w:val="24"/>
                <w:szCs w:val="24"/>
              </w:rPr>
              <w:t xml:space="preserve">guidance </w:t>
            </w:r>
            <w:r w:rsidR="00713141">
              <w:rPr>
                <w:rFonts w:cstheme="minorHAnsi"/>
                <w:bCs/>
                <w:sz w:val="24"/>
                <w:szCs w:val="24"/>
              </w:rPr>
              <w:t xml:space="preserve">document provides </w:t>
            </w:r>
            <w:r w:rsidR="002B02E9">
              <w:rPr>
                <w:rFonts w:cstheme="minorHAnsi"/>
                <w:bCs/>
                <w:sz w:val="24"/>
                <w:szCs w:val="24"/>
              </w:rPr>
              <w:t>advice</w:t>
            </w:r>
            <w:r w:rsidR="00713141">
              <w:rPr>
                <w:rFonts w:cstheme="minorHAnsi"/>
                <w:bCs/>
                <w:sz w:val="24"/>
                <w:szCs w:val="24"/>
              </w:rPr>
              <w:t xml:space="preserve"> on what might constitute suspicious behaviour and emphasises the need </w:t>
            </w:r>
            <w:r w:rsidR="00B107D1">
              <w:rPr>
                <w:rFonts w:cstheme="minorHAnsi"/>
                <w:bCs/>
                <w:sz w:val="24"/>
                <w:szCs w:val="24"/>
              </w:rPr>
              <w:t>for</w:t>
            </w:r>
            <w:r w:rsidR="00713141">
              <w:rPr>
                <w:rFonts w:cstheme="minorHAnsi"/>
                <w:bCs/>
                <w:sz w:val="24"/>
                <w:szCs w:val="24"/>
              </w:rPr>
              <w:t xml:space="preserve"> a polite an</w:t>
            </w:r>
            <w:r w:rsidR="00FD1B37">
              <w:rPr>
                <w:rFonts w:cstheme="minorHAnsi"/>
                <w:bCs/>
                <w:sz w:val="24"/>
                <w:szCs w:val="24"/>
              </w:rPr>
              <w:t>d</w:t>
            </w:r>
            <w:r w:rsidR="00713141">
              <w:rPr>
                <w:rFonts w:cstheme="minorHAnsi"/>
                <w:bCs/>
                <w:sz w:val="24"/>
                <w:szCs w:val="24"/>
              </w:rPr>
              <w:t xml:space="preserve"> friendly approach as the majority of cases of suspicious behaviou</w:t>
            </w:r>
            <w:r w:rsidR="004425CE">
              <w:rPr>
                <w:rFonts w:cstheme="minorHAnsi"/>
                <w:bCs/>
                <w:sz w:val="24"/>
                <w:szCs w:val="24"/>
              </w:rPr>
              <w:t>r are likely to have an innocent explanation.</w:t>
            </w:r>
          </w:p>
        </w:tc>
        <w:tc>
          <w:tcPr>
            <w:tcW w:w="2493" w:type="dxa"/>
          </w:tcPr>
          <w:p w14:paraId="1709EEF2" w14:textId="2330E99F" w:rsidR="00942F27" w:rsidRDefault="008175B8" w:rsidP="000110A8">
            <w:pPr>
              <w:rPr>
                <w:rFonts w:cstheme="minorHAnsi"/>
                <w:b/>
                <w:sz w:val="28"/>
              </w:rPr>
            </w:pPr>
            <w:r>
              <w:rPr>
                <w:rFonts w:cstheme="minorHAnsi"/>
                <w:b/>
                <w:sz w:val="28"/>
              </w:rPr>
              <w:t>Neutral</w:t>
            </w:r>
          </w:p>
        </w:tc>
      </w:tr>
      <w:tr w:rsidR="00942F27" w14:paraId="1EAC8A4D" w14:textId="77777777" w:rsidTr="00AF133F">
        <w:trPr>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F133F">
        <w:trPr>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F133F">
        <w:trPr>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F133F">
        <w:trPr>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F133F">
        <w:trPr>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F133F">
        <w:trPr>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72808652" w:rsidR="00942F27" w:rsidRPr="0090613B" w:rsidRDefault="00942F27" w:rsidP="0010550B">
            <w:pPr>
              <w:jc w:val="both"/>
              <w:rPr>
                <w:rFonts w:cstheme="minorHAnsi"/>
              </w:rPr>
            </w:pP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56BB4CFE" w:rsidR="00942F27" w:rsidRDefault="005079C6" w:rsidP="000110A8">
            <w:pPr>
              <w:rPr>
                <w:rFonts w:cstheme="minorHAnsi"/>
                <w:b/>
                <w:sz w:val="28"/>
              </w:rPr>
            </w:pPr>
            <w:r>
              <w:rPr>
                <w:rFonts w:cstheme="minorHAnsi"/>
                <w:b/>
                <w:sz w:val="28"/>
              </w:rPr>
              <w:t>Neutral</w:t>
            </w:r>
          </w:p>
        </w:tc>
      </w:tr>
      <w:tr w:rsidR="00942F27" w14:paraId="2BB5BBA1" w14:textId="77777777" w:rsidTr="00AF133F">
        <w:trPr>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F133F">
        <w:trPr>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3F5AB088" w14:textId="2D977354" w:rsidR="00942F27" w:rsidRDefault="002B02E9" w:rsidP="000110A8">
            <w:pPr>
              <w:rPr>
                <w:rFonts w:cstheme="minorHAnsi"/>
                <w:bCs/>
                <w:sz w:val="24"/>
                <w:szCs w:val="24"/>
              </w:rPr>
            </w:pPr>
            <w:r>
              <w:rPr>
                <w:rFonts w:cstheme="minorHAnsi"/>
                <w:bCs/>
                <w:sz w:val="24"/>
                <w:szCs w:val="24"/>
              </w:rPr>
              <w:t>Black ethnic groups</w:t>
            </w:r>
            <w:r w:rsidR="004E2DB8" w:rsidRPr="004E2DB8">
              <w:rPr>
                <w:rFonts w:cstheme="minorHAnsi"/>
                <w:bCs/>
                <w:sz w:val="24"/>
                <w:szCs w:val="24"/>
              </w:rPr>
              <w:t xml:space="preserve"> </w:t>
            </w:r>
            <w:r w:rsidR="004E2DB8">
              <w:rPr>
                <w:rFonts w:cstheme="minorHAnsi"/>
                <w:bCs/>
                <w:sz w:val="24"/>
                <w:szCs w:val="24"/>
              </w:rPr>
              <w:t xml:space="preserve">and those that </w:t>
            </w:r>
            <w:r>
              <w:rPr>
                <w:rFonts w:cstheme="minorHAnsi"/>
                <w:bCs/>
                <w:sz w:val="24"/>
                <w:szCs w:val="24"/>
              </w:rPr>
              <w:t xml:space="preserve">may </w:t>
            </w:r>
            <w:r w:rsidR="004E2DB8">
              <w:rPr>
                <w:rFonts w:cstheme="minorHAnsi"/>
                <w:bCs/>
                <w:sz w:val="24"/>
                <w:szCs w:val="24"/>
              </w:rPr>
              <w:t>appear to be from overseas may be at risk of racial bias and discrimination.  It is important that the guidance is followed when approaching anyone</w:t>
            </w:r>
            <w:r>
              <w:rPr>
                <w:rFonts w:cstheme="minorHAnsi"/>
                <w:bCs/>
                <w:sz w:val="24"/>
                <w:szCs w:val="24"/>
              </w:rPr>
              <w:t xml:space="preserve">.  The guidance document provides advice on what might constitute suspicious </w:t>
            </w:r>
            <w:r>
              <w:rPr>
                <w:rFonts w:cstheme="minorHAnsi"/>
                <w:bCs/>
                <w:sz w:val="24"/>
                <w:szCs w:val="24"/>
              </w:rPr>
              <w:lastRenderedPageBreak/>
              <w:t>behaviour and emphasises the need for a polite and friendly approach as the majority of cases of suspicious behaviour are likely to have an innocent explanation.</w:t>
            </w:r>
            <w:r w:rsidR="004E2DB8">
              <w:rPr>
                <w:rFonts w:cstheme="minorHAnsi"/>
                <w:bCs/>
                <w:sz w:val="24"/>
                <w:szCs w:val="24"/>
              </w:rPr>
              <w:t xml:space="preserve"> </w:t>
            </w:r>
            <w:r>
              <w:rPr>
                <w:rFonts w:cstheme="minorHAnsi"/>
                <w:bCs/>
                <w:sz w:val="24"/>
                <w:szCs w:val="24"/>
              </w:rPr>
              <w:t xml:space="preserve"> </w:t>
            </w:r>
            <w:r w:rsidR="004E2DB8">
              <w:rPr>
                <w:rFonts w:cstheme="minorHAnsi"/>
                <w:bCs/>
                <w:sz w:val="24"/>
                <w:szCs w:val="24"/>
              </w:rPr>
              <w:t>Staff, especially, public facing staff, should ensure that they have undertaken the GSA equality and diversity training</w:t>
            </w:r>
            <w:r>
              <w:rPr>
                <w:rFonts w:cstheme="minorHAnsi"/>
                <w:bCs/>
                <w:sz w:val="24"/>
                <w:szCs w:val="24"/>
              </w:rPr>
              <w:t xml:space="preserve"> as well as unconscious bias</w:t>
            </w:r>
            <w:r w:rsidR="004E2DB8">
              <w:rPr>
                <w:rFonts w:cstheme="minorHAnsi"/>
                <w:bCs/>
                <w:sz w:val="24"/>
                <w:szCs w:val="24"/>
              </w:rPr>
              <w:t xml:space="preserve"> and keep this up to date. </w:t>
            </w:r>
          </w:p>
          <w:p w14:paraId="506DF279" w14:textId="334F3794" w:rsidR="002B02E9" w:rsidRPr="004E2DB8" w:rsidRDefault="002B02E9" w:rsidP="000110A8">
            <w:pPr>
              <w:rPr>
                <w:rFonts w:cstheme="minorHAnsi"/>
                <w:bCs/>
                <w:sz w:val="24"/>
                <w:szCs w:val="24"/>
              </w:rPr>
            </w:pPr>
            <w:r>
              <w:rPr>
                <w:rFonts w:cstheme="minorHAnsi"/>
                <w:bCs/>
                <w:sz w:val="24"/>
                <w:szCs w:val="24"/>
              </w:rPr>
              <w:t xml:space="preserve">If you feel uncomfortable or the situation begins to </w:t>
            </w:r>
            <w:proofErr w:type="gramStart"/>
            <w:r>
              <w:rPr>
                <w:rFonts w:cstheme="minorHAnsi"/>
                <w:bCs/>
                <w:sz w:val="24"/>
                <w:szCs w:val="24"/>
              </w:rPr>
              <w:t>escalate</w:t>
            </w:r>
            <w:proofErr w:type="gramEnd"/>
            <w:r>
              <w:rPr>
                <w:rFonts w:cstheme="minorHAnsi"/>
                <w:bCs/>
                <w:sz w:val="24"/>
                <w:szCs w:val="24"/>
              </w:rPr>
              <w:t xml:space="preserve"> contact the GSA security when safe to do so.  Security </w:t>
            </w:r>
            <w:proofErr w:type="gramStart"/>
            <w:r>
              <w:rPr>
                <w:rFonts w:cstheme="minorHAnsi"/>
                <w:bCs/>
                <w:sz w:val="24"/>
                <w:szCs w:val="24"/>
              </w:rPr>
              <w:t>are</w:t>
            </w:r>
            <w:proofErr w:type="gramEnd"/>
            <w:r>
              <w:rPr>
                <w:rFonts w:cstheme="minorHAnsi"/>
                <w:bCs/>
                <w:sz w:val="24"/>
                <w:szCs w:val="24"/>
              </w:rPr>
              <w:t xml:space="preserve"> trained to respond to these situations. </w:t>
            </w:r>
          </w:p>
        </w:tc>
        <w:tc>
          <w:tcPr>
            <w:tcW w:w="2493" w:type="dxa"/>
          </w:tcPr>
          <w:p w14:paraId="75EBDD69" w14:textId="201AF18B" w:rsidR="00942F27" w:rsidRDefault="00942F27" w:rsidP="000110A8">
            <w:pPr>
              <w:rPr>
                <w:rFonts w:cstheme="minorHAnsi"/>
                <w:b/>
                <w:sz w:val="28"/>
              </w:rPr>
            </w:pPr>
          </w:p>
        </w:tc>
      </w:tr>
      <w:tr w:rsidR="00942F27" w14:paraId="25EB79F3" w14:textId="77777777" w:rsidTr="00AF133F">
        <w:trPr>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F133F">
        <w:trPr>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6A3AE9E4" w:rsidR="00942F27" w:rsidRPr="00ED096D" w:rsidRDefault="00786704" w:rsidP="000110A8">
            <w:pPr>
              <w:rPr>
                <w:rFonts w:cstheme="minorHAnsi"/>
                <w:bCs/>
                <w:sz w:val="24"/>
                <w:szCs w:val="24"/>
              </w:rPr>
            </w:pPr>
            <w:r w:rsidRPr="00ED096D">
              <w:rPr>
                <w:rFonts w:cstheme="minorHAnsi"/>
                <w:bCs/>
                <w:sz w:val="24"/>
                <w:szCs w:val="24"/>
              </w:rPr>
              <w:t xml:space="preserve">There is reference in the document to use of face coverings to </w:t>
            </w:r>
            <w:r w:rsidR="00CB3E47" w:rsidRPr="00ED096D">
              <w:rPr>
                <w:rFonts w:cstheme="minorHAnsi"/>
                <w:bCs/>
                <w:sz w:val="24"/>
                <w:szCs w:val="24"/>
              </w:rPr>
              <w:t xml:space="preserve">conceal an </w:t>
            </w:r>
            <w:proofErr w:type="gramStart"/>
            <w:r w:rsidR="00CB3E47" w:rsidRPr="00ED096D">
              <w:rPr>
                <w:rFonts w:cstheme="minorHAnsi"/>
                <w:bCs/>
                <w:sz w:val="24"/>
                <w:szCs w:val="24"/>
              </w:rPr>
              <w:t>intruders</w:t>
            </w:r>
            <w:proofErr w:type="gramEnd"/>
            <w:r w:rsidR="00CB3E47" w:rsidRPr="00ED096D">
              <w:rPr>
                <w:rFonts w:cstheme="minorHAnsi"/>
                <w:bCs/>
                <w:sz w:val="24"/>
                <w:szCs w:val="24"/>
              </w:rPr>
              <w:t xml:space="preserve"> identity</w:t>
            </w:r>
            <w:r w:rsidR="00BD506B" w:rsidRPr="00ED096D">
              <w:rPr>
                <w:rFonts w:cstheme="minorHAnsi"/>
                <w:bCs/>
                <w:sz w:val="24"/>
                <w:szCs w:val="24"/>
              </w:rPr>
              <w:t xml:space="preserve"> as being </w:t>
            </w:r>
            <w:r w:rsidR="00171B42" w:rsidRPr="00ED096D">
              <w:rPr>
                <w:rFonts w:cstheme="minorHAnsi"/>
                <w:bCs/>
                <w:sz w:val="24"/>
                <w:szCs w:val="24"/>
              </w:rPr>
              <w:t>suspicious</w:t>
            </w:r>
            <w:r w:rsidR="00CB3E47" w:rsidRPr="00ED096D">
              <w:rPr>
                <w:rFonts w:cstheme="minorHAnsi"/>
                <w:bCs/>
                <w:sz w:val="24"/>
                <w:szCs w:val="24"/>
              </w:rPr>
              <w:t xml:space="preserve">.  This has potential to unfairly stigmatise </w:t>
            </w:r>
            <w:r w:rsidR="00E57BD6">
              <w:rPr>
                <w:rFonts w:cstheme="minorHAnsi"/>
                <w:bCs/>
                <w:sz w:val="24"/>
                <w:szCs w:val="24"/>
              </w:rPr>
              <w:t>people</w:t>
            </w:r>
            <w:r w:rsidR="004B47F1" w:rsidRPr="00ED096D">
              <w:rPr>
                <w:rFonts w:cstheme="minorHAnsi"/>
                <w:bCs/>
                <w:sz w:val="24"/>
                <w:szCs w:val="24"/>
              </w:rPr>
              <w:t xml:space="preserve"> that</w:t>
            </w:r>
            <w:r w:rsidR="00E57BD6">
              <w:rPr>
                <w:rFonts w:cstheme="minorHAnsi"/>
                <w:bCs/>
                <w:sz w:val="24"/>
                <w:szCs w:val="24"/>
              </w:rPr>
              <w:t xml:space="preserve"> might</w:t>
            </w:r>
            <w:r w:rsidR="004B47F1" w:rsidRPr="00ED096D">
              <w:rPr>
                <w:rFonts w:cstheme="minorHAnsi"/>
                <w:bCs/>
                <w:sz w:val="24"/>
                <w:szCs w:val="24"/>
              </w:rPr>
              <w:t xml:space="preserve"> cover their faces for religious reasons</w:t>
            </w:r>
            <w:r w:rsidR="004E2DB8">
              <w:rPr>
                <w:rFonts w:cstheme="minorHAnsi"/>
                <w:bCs/>
                <w:sz w:val="24"/>
                <w:szCs w:val="24"/>
              </w:rPr>
              <w:t xml:space="preserve">, such as </w:t>
            </w:r>
            <w:r w:rsidR="002B02E9">
              <w:rPr>
                <w:rFonts w:cstheme="minorHAnsi"/>
                <w:bCs/>
                <w:sz w:val="24"/>
                <w:szCs w:val="24"/>
              </w:rPr>
              <w:t>niqabs, hijabs</w:t>
            </w:r>
            <w:r w:rsidR="004E2DB8">
              <w:rPr>
                <w:rFonts w:cstheme="minorHAnsi"/>
                <w:bCs/>
                <w:sz w:val="24"/>
                <w:szCs w:val="24"/>
              </w:rPr>
              <w:t xml:space="preserve"> or scarves</w:t>
            </w:r>
            <w:r w:rsidR="004B47F1" w:rsidRPr="00ED096D">
              <w:rPr>
                <w:rFonts w:cstheme="minorHAnsi"/>
                <w:bCs/>
                <w:sz w:val="24"/>
                <w:szCs w:val="24"/>
              </w:rPr>
              <w:t xml:space="preserve">.  </w:t>
            </w:r>
            <w:r w:rsidR="006F591F" w:rsidRPr="00ED096D">
              <w:rPr>
                <w:rFonts w:cstheme="minorHAnsi"/>
                <w:bCs/>
                <w:sz w:val="24"/>
                <w:szCs w:val="24"/>
              </w:rPr>
              <w:t>Wording</w:t>
            </w:r>
            <w:r w:rsidR="004B47F1" w:rsidRPr="00ED096D">
              <w:rPr>
                <w:rFonts w:cstheme="minorHAnsi"/>
                <w:bCs/>
                <w:sz w:val="24"/>
                <w:szCs w:val="24"/>
              </w:rPr>
              <w:t xml:space="preserve"> has been provided</w:t>
            </w:r>
            <w:r w:rsidR="00515D10">
              <w:rPr>
                <w:rFonts w:cstheme="minorHAnsi"/>
                <w:bCs/>
                <w:sz w:val="24"/>
                <w:szCs w:val="24"/>
              </w:rPr>
              <w:t xml:space="preserve"> </w:t>
            </w:r>
            <w:r w:rsidR="00B107D1">
              <w:rPr>
                <w:rFonts w:cstheme="minorHAnsi"/>
                <w:bCs/>
                <w:sz w:val="24"/>
                <w:szCs w:val="24"/>
              </w:rPr>
              <w:t>in</w:t>
            </w:r>
            <w:r w:rsidR="00515D10">
              <w:rPr>
                <w:rFonts w:cstheme="minorHAnsi"/>
                <w:bCs/>
                <w:sz w:val="24"/>
                <w:szCs w:val="24"/>
              </w:rPr>
              <w:t xml:space="preserve"> the document</w:t>
            </w:r>
            <w:r w:rsidR="004B47F1" w:rsidRPr="00ED096D">
              <w:rPr>
                <w:rFonts w:cstheme="minorHAnsi"/>
                <w:bCs/>
                <w:sz w:val="24"/>
                <w:szCs w:val="24"/>
              </w:rPr>
              <w:t xml:space="preserve"> </w:t>
            </w:r>
            <w:r w:rsidR="00BD506B" w:rsidRPr="00ED096D">
              <w:rPr>
                <w:rFonts w:cstheme="minorHAnsi"/>
                <w:bCs/>
                <w:sz w:val="24"/>
                <w:szCs w:val="24"/>
              </w:rPr>
              <w:t xml:space="preserve">making it </w:t>
            </w:r>
            <w:proofErr w:type="gramStart"/>
            <w:r w:rsidR="00BD506B" w:rsidRPr="00ED096D">
              <w:rPr>
                <w:rFonts w:cstheme="minorHAnsi"/>
                <w:bCs/>
                <w:sz w:val="24"/>
                <w:szCs w:val="24"/>
              </w:rPr>
              <w:t>more clear</w:t>
            </w:r>
            <w:proofErr w:type="gramEnd"/>
            <w:r w:rsidR="00BD506B" w:rsidRPr="00ED096D">
              <w:rPr>
                <w:rFonts w:cstheme="minorHAnsi"/>
                <w:bCs/>
                <w:sz w:val="24"/>
                <w:szCs w:val="24"/>
              </w:rPr>
              <w:t xml:space="preserve"> what is regarded as </w:t>
            </w:r>
            <w:r w:rsidR="006F591F" w:rsidRPr="00ED096D">
              <w:rPr>
                <w:rFonts w:cstheme="minorHAnsi"/>
                <w:bCs/>
                <w:sz w:val="24"/>
                <w:szCs w:val="24"/>
              </w:rPr>
              <w:t xml:space="preserve">a </w:t>
            </w:r>
            <w:r w:rsidR="00BD506B" w:rsidRPr="00ED096D">
              <w:rPr>
                <w:rFonts w:cstheme="minorHAnsi"/>
                <w:bCs/>
                <w:sz w:val="24"/>
                <w:szCs w:val="24"/>
              </w:rPr>
              <w:t>suspicious</w:t>
            </w:r>
            <w:r w:rsidR="006F591F" w:rsidRPr="00ED096D">
              <w:rPr>
                <w:rFonts w:cstheme="minorHAnsi"/>
                <w:bCs/>
                <w:sz w:val="24"/>
                <w:szCs w:val="24"/>
              </w:rPr>
              <w:t xml:space="preserve"> face covering </w:t>
            </w:r>
            <w:r w:rsidR="00E054DC" w:rsidRPr="00ED096D">
              <w:rPr>
                <w:rFonts w:cstheme="minorHAnsi"/>
                <w:bCs/>
                <w:sz w:val="24"/>
                <w:szCs w:val="24"/>
              </w:rPr>
              <w:t xml:space="preserve">such as </w:t>
            </w:r>
            <w:r w:rsidR="0097104F" w:rsidRPr="00ED096D">
              <w:rPr>
                <w:rFonts w:cstheme="minorHAnsi"/>
                <w:bCs/>
                <w:sz w:val="24"/>
                <w:szCs w:val="24"/>
              </w:rPr>
              <w:t xml:space="preserve">wearing </w:t>
            </w:r>
            <w:r w:rsidR="00E054DC" w:rsidRPr="00ED096D">
              <w:rPr>
                <w:rFonts w:cstheme="minorHAnsi"/>
                <w:bCs/>
                <w:sz w:val="24"/>
                <w:szCs w:val="24"/>
              </w:rPr>
              <w:t>a balaclava</w:t>
            </w:r>
            <w:r w:rsidR="005074D0" w:rsidRPr="00ED096D">
              <w:rPr>
                <w:rFonts w:cstheme="minorHAnsi"/>
                <w:bCs/>
                <w:sz w:val="24"/>
                <w:szCs w:val="24"/>
              </w:rPr>
              <w:t xml:space="preserve"> or woollen scarf</w:t>
            </w:r>
            <w:r w:rsidR="00E054DC" w:rsidRPr="00ED096D">
              <w:rPr>
                <w:rFonts w:cstheme="minorHAnsi"/>
                <w:bCs/>
                <w:sz w:val="24"/>
                <w:szCs w:val="24"/>
              </w:rPr>
              <w:t xml:space="preserve"> </w:t>
            </w:r>
            <w:r w:rsidR="0097104F" w:rsidRPr="00ED096D">
              <w:rPr>
                <w:rFonts w:cstheme="minorHAnsi"/>
                <w:bCs/>
                <w:sz w:val="24"/>
                <w:szCs w:val="24"/>
              </w:rPr>
              <w:t>on a hot day</w:t>
            </w:r>
            <w:r w:rsidR="00E054DC" w:rsidRPr="00ED096D">
              <w:rPr>
                <w:rFonts w:cstheme="minorHAnsi"/>
                <w:bCs/>
                <w:sz w:val="24"/>
                <w:szCs w:val="24"/>
              </w:rPr>
              <w:t xml:space="preserve"> or a crash helmet worn </w:t>
            </w:r>
            <w:r w:rsidR="0097104F" w:rsidRPr="00ED096D">
              <w:rPr>
                <w:rFonts w:cstheme="minorHAnsi"/>
                <w:bCs/>
                <w:sz w:val="24"/>
                <w:szCs w:val="24"/>
              </w:rPr>
              <w:t>in doors</w:t>
            </w:r>
            <w:r w:rsidR="00BD506B" w:rsidRPr="00ED096D">
              <w:rPr>
                <w:rFonts w:cstheme="minorHAnsi"/>
                <w:bCs/>
                <w:sz w:val="24"/>
                <w:szCs w:val="24"/>
              </w:rPr>
              <w:t xml:space="preserve">. </w:t>
            </w:r>
          </w:p>
        </w:tc>
        <w:tc>
          <w:tcPr>
            <w:tcW w:w="2493" w:type="dxa"/>
          </w:tcPr>
          <w:p w14:paraId="55B21E5E" w14:textId="008A45DE" w:rsidR="00942F27" w:rsidRDefault="00942F27" w:rsidP="000110A8">
            <w:pPr>
              <w:rPr>
                <w:rFonts w:cstheme="minorHAnsi"/>
                <w:b/>
                <w:sz w:val="28"/>
              </w:rPr>
            </w:pPr>
          </w:p>
        </w:tc>
      </w:tr>
      <w:tr w:rsidR="00942F27" w14:paraId="2195F0CD" w14:textId="77777777" w:rsidTr="00AF133F">
        <w:trPr>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F133F">
        <w:trPr>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F133F">
        <w:trPr>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F133F">
        <w:trPr>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F133F">
        <w:trPr>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lastRenderedPageBreak/>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lastRenderedPageBreak/>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F133F">
        <w:trPr>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25805933" w14:textId="6676382D" w:rsidR="00550C92" w:rsidRPr="00550C92" w:rsidRDefault="00550C92" w:rsidP="00D9543F">
            <w:pPr>
              <w:jc w:val="both"/>
              <w:rPr>
                <w:rFonts w:cstheme="minorHAnsi"/>
                <w:sz w:val="24"/>
                <w:szCs w:val="24"/>
              </w:rPr>
            </w:pP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324DF91E" w:rsidR="006F5E95" w:rsidRDefault="00FD1B37" w:rsidP="006F5E95">
            <w:pPr>
              <w:rPr>
                <w:rFonts w:cstheme="minorHAnsi"/>
                <w:b/>
                <w:sz w:val="28"/>
              </w:rPr>
            </w:pPr>
            <w:r>
              <w:rPr>
                <w:rFonts w:cstheme="minorHAnsi"/>
                <w:b/>
                <w:sz w:val="28"/>
              </w:rPr>
              <w:t>Neutral</w:t>
            </w:r>
          </w:p>
        </w:tc>
      </w:tr>
      <w:tr w:rsidR="00AF133F" w14:paraId="4880B4DB" w14:textId="4476FB21" w:rsidTr="00AF133F">
        <w:tc>
          <w:tcPr>
            <w:tcW w:w="15388" w:type="dxa"/>
            <w:gridSpan w:val="7"/>
            <w:shd w:val="clear" w:color="auto" w:fill="F2F2F2" w:themeFill="background1" w:themeFillShade="F2"/>
          </w:tcPr>
          <w:p w14:paraId="5C79D22B" w14:textId="1BB7EEEE" w:rsidR="00AF133F" w:rsidRPr="008075BC" w:rsidRDefault="00AF133F"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r>
      <w:tr w:rsidR="004A1354" w14:paraId="539D9BDD" w14:textId="77777777" w:rsidTr="00AF133F">
        <w:tc>
          <w:tcPr>
            <w:tcW w:w="15388" w:type="dxa"/>
            <w:gridSpan w:val="7"/>
          </w:tcPr>
          <w:p w14:paraId="01818E67" w14:textId="77777777" w:rsidR="00E94A36" w:rsidRPr="00E94A36" w:rsidRDefault="00E94A36" w:rsidP="00E94A36">
            <w:pPr>
              <w:rPr>
                <w:rFonts w:cstheme="minorHAnsi"/>
                <w:sz w:val="24"/>
                <w:szCs w:val="24"/>
              </w:rPr>
            </w:pPr>
            <w:r w:rsidRPr="00DD32D9">
              <w:rPr>
                <w:rFonts w:cstheme="minorHAnsi"/>
                <w:b/>
                <w:bCs/>
                <w:sz w:val="24"/>
                <w:szCs w:val="24"/>
              </w:rPr>
              <w:t>Age:</w:t>
            </w:r>
            <w:r>
              <w:rPr>
                <w:rFonts w:cstheme="minorHAnsi"/>
                <w:sz w:val="24"/>
                <w:szCs w:val="24"/>
              </w:rPr>
              <w:t xml:space="preserve">  </w:t>
            </w:r>
            <w:r w:rsidRPr="00E94A36">
              <w:rPr>
                <w:rFonts w:cstheme="minorHAnsi"/>
                <w:sz w:val="24"/>
                <w:szCs w:val="24"/>
              </w:rPr>
              <w:t>Older persons might be seen as suspicious on the GSA campus where the majority of student are in there 20s.</w:t>
            </w:r>
          </w:p>
          <w:p w14:paraId="4A9B1A6D" w14:textId="29706D1E" w:rsidR="005479BB" w:rsidRDefault="00E94A36" w:rsidP="00E94A36">
            <w:pPr>
              <w:rPr>
                <w:rFonts w:cstheme="minorHAnsi"/>
                <w:sz w:val="24"/>
                <w:szCs w:val="24"/>
              </w:rPr>
            </w:pPr>
            <w:r w:rsidRPr="00E94A36">
              <w:rPr>
                <w:rFonts w:cstheme="minorHAnsi"/>
                <w:sz w:val="24"/>
                <w:szCs w:val="24"/>
              </w:rPr>
              <w:t>The document offsets this by providing guidance on what might constitute suspicious behaviour at the GSA.  The document also emphasises the need for a polite and friendly approach as the majority of cases of suspicious behaviours are likely to have an innocent explanation</w:t>
            </w:r>
            <w:r>
              <w:rPr>
                <w:rFonts w:cstheme="minorHAnsi"/>
                <w:sz w:val="24"/>
                <w:szCs w:val="24"/>
              </w:rPr>
              <w:t>.</w:t>
            </w:r>
          </w:p>
          <w:p w14:paraId="5BAFE618" w14:textId="042AC9BC" w:rsidR="00E94A36" w:rsidRDefault="00E94A36" w:rsidP="00E94A36">
            <w:pPr>
              <w:rPr>
                <w:rFonts w:cstheme="minorHAnsi"/>
                <w:sz w:val="24"/>
                <w:szCs w:val="24"/>
              </w:rPr>
            </w:pPr>
          </w:p>
          <w:p w14:paraId="7889EE10" w14:textId="15BB311E" w:rsidR="002B02E9" w:rsidRPr="002B02E9" w:rsidRDefault="002B02E9" w:rsidP="00E94A36">
            <w:pPr>
              <w:rPr>
                <w:rFonts w:cstheme="minorHAnsi"/>
                <w:b/>
                <w:bCs/>
                <w:sz w:val="24"/>
                <w:szCs w:val="24"/>
              </w:rPr>
            </w:pPr>
            <w:r w:rsidRPr="002B02E9">
              <w:rPr>
                <w:rFonts w:cstheme="minorHAnsi"/>
                <w:b/>
                <w:bCs/>
                <w:sz w:val="24"/>
                <w:szCs w:val="24"/>
              </w:rPr>
              <w:t>Race.</w:t>
            </w:r>
          </w:p>
          <w:p w14:paraId="35D2B872" w14:textId="309FCFBC" w:rsidR="002B02E9" w:rsidRDefault="002B02E9" w:rsidP="002B02E9">
            <w:pPr>
              <w:rPr>
                <w:rFonts w:cstheme="minorHAnsi"/>
                <w:bCs/>
                <w:sz w:val="24"/>
                <w:szCs w:val="24"/>
              </w:rPr>
            </w:pPr>
            <w:r w:rsidRPr="002B02E9">
              <w:rPr>
                <w:rFonts w:cstheme="minorHAnsi"/>
                <w:bCs/>
                <w:sz w:val="24"/>
                <w:szCs w:val="24"/>
              </w:rPr>
              <w:t xml:space="preserve">Black ethnic groups and those that may appear to be from overseas </w:t>
            </w:r>
            <w:r>
              <w:rPr>
                <w:rFonts w:cstheme="minorHAnsi"/>
                <w:bCs/>
                <w:sz w:val="24"/>
                <w:szCs w:val="24"/>
              </w:rPr>
              <w:t xml:space="preserve">may be at risk of racial bias and discrimination.  It is important that the guidance is followed when approaching anyone.  The guidance document provides advice on what might constitute suspicious behaviour and emphasises the need for a polite and friendly approach as the majority of cases of suspicious behaviour are likely to have an innocent explanation.  Staff, especially, public facing staff, should ensure that they have undertaken the GSA equality and diversity training </w:t>
            </w:r>
            <w:r w:rsidR="00C36E8B">
              <w:rPr>
                <w:rFonts w:cstheme="minorHAnsi"/>
                <w:bCs/>
                <w:sz w:val="24"/>
                <w:szCs w:val="24"/>
              </w:rPr>
              <w:t xml:space="preserve">as well as unconscious bias, </w:t>
            </w:r>
            <w:r>
              <w:rPr>
                <w:rFonts w:cstheme="minorHAnsi"/>
                <w:bCs/>
                <w:sz w:val="24"/>
                <w:szCs w:val="24"/>
              </w:rPr>
              <w:t xml:space="preserve">and keep this up to date. </w:t>
            </w:r>
          </w:p>
          <w:p w14:paraId="1F2D5842" w14:textId="6FFAD0D7" w:rsidR="002B02E9" w:rsidRDefault="002B02E9" w:rsidP="002B02E9">
            <w:pPr>
              <w:rPr>
                <w:rFonts w:cstheme="minorHAnsi"/>
                <w:sz w:val="24"/>
                <w:szCs w:val="24"/>
              </w:rPr>
            </w:pPr>
            <w:r>
              <w:rPr>
                <w:rFonts w:cstheme="minorHAnsi"/>
                <w:bCs/>
                <w:sz w:val="24"/>
                <w:szCs w:val="24"/>
              </w:rPr>
              <w:t xml:space="preserve">If you feel uncomfortable or the situation begins to </w:t>
            </w:r>
            <w:proofErr w:type="gramStart"/>
            <w:r>
              <w:rPr>
                <w:rFonts w:cstheme="minorHAnsi"/>
                <w:bCs/>
                <w:sz w:val="24"/>
                <w:szCs w:val="24"/>
              </w:rPr>
              <w:t>escalate</w:t>
            </w:r>
            <w:proofErr w:type="gramEnd"/>
            <w:r>
              <w:rPr>
                <w:rFonts w:cstheme="minorHAnsi"/>
                <w:bCs/>
                <w:sz w:val="24"/>
                <w:szCs w:val="24"/>
              </w:rPr>
              <w:t xml:space="preserve"> contact the GSA security when safe to do so.  Security </w:t>
            </w:r>
            <w:proofErr w:type="gramStart"/>
            <w:r>
              <w:rPr>
                <w:rFonts w:cstheme="minorHAnsi"/>
                <w:bCs/>
                <w:sz w:val="24"/>
                <w:szCs w:val="24"/>
              </w:rPr>
              <w:t>are</w:t>
            </w:r>
            <w:proofErr w:type="gramEnd"/>
            <w:r>
              <w:rPr>
                <w:rFonts w:cstheme="minorHAnsi"/>
                <w:bCs/>
                <w:sz w:val="24"/>
                <w:szCs w:val="24"/>
              </w:rPr>
              <w:t xml:space="preserve"> trained to respond to these situations.</w:t>
            </w:r>
          </w:p>
          <w:p w14:paraId="6CB8FF7F" w14:textId="77777777" w:rsidR="002B02E9" w:rsidRDefault="002B02E9" w:rsidP="00E94A36">
            <w:pPr>
              <w:rPr>
                <w:rFonts w:cstheme="minorHAnsi"/>
                <w:sz w:val="24"/>
                <w:szCs w:val="24"/>
              </w:rPr>
            </w:pPr>
          </w:p>
          <w:p w14:paraId="0229E94F" w14:textId="039DCCA8" w:rsidR="00801410" w:rsidRPr="004E2DB8" w:rsidRDefault="00DD32D9" w:rsidP="00E94A36">
            <w:pPr>
              <w:rPr>
                <w:rFonts w:cstheme="minorHAnsi"/>
                <w:sz w:val="24"/>
                <w:szCs w:val="24"/>
              </w:rPr>
            </w:pPr>
            <w:r w:rsidRPr="00DD32D9">
              <w:rPr>
                <w:rFonts w:cstheme="minorHAnsi"/>
                <w:b/>
                <w:bCs/>
                <w:sz w:val="24"/>
                <w:szCs w:val="24"/>
              </w:rPr>
              <w:t>Religion or belief</w:t>
            </w:r>
            <w:r>
              <w:rPr>
                <w:rFonts w:cstheme="minorHAnsi"/>
                <w:sz w:val="24"/>
                <w:szCs w:val="24"/>
              </w:rPr>
              <w:t xml:space="preserve">.  </w:t>
            </w:r>
            <w:r w:rsidR="00801410" w:rsidRPr="00801410">
              <w:rPr>
                <w:rFonts w:cstheme="minorHAnsi"/>
                <w:sz w:val="24"/>
                <w:szCs w:val="24"/>
              </w:rPr>
              <w:t xml:space="preserve">There is reference in the document to use of face coverings to conceal an </w:t>
            </w:r>
            <w:r w:rsidR="00E57BD6" w:rsidRPr="00801410">
              <w:rPr>
                <w:rFonts w:cstheme="minorHAnsi"/>
                <w:sz w:val="24"/>
                <w:szCs w:val="24"/>
              </w:rPr>
              <w:t>intruder’s</w:t>
            </w:r>
            <w:r w:rsidR="00801410" w:rsidRPr="00801410">
              <w:rPr>
                <w:rFonts w:cstheme="minorHAnsi"/>
                <w:sz w:val="24"/>
                <w:szCs w:val="24"/>
              </w:rPr>
              <w:t xml:space="preserve"> identity as being </w:t>
            </w:r>
            <w:r w:rsidR="00950E3E">
              <w:rPr>
                <w:rFonts w:cstheme="minorHAnsi"/>
                <w:sz w:val="24"/>
                <w:szCs w:val="24"/>
              </w:rPr>
              <w:t xml:space="preserve">a </w:t>
            </w:r>
            <w:r w:rsidR="00801410" w:rsidRPr="00801410">
              <w:rPr>
                <w:rFonts w:cstheme="minorHAnsi"/>
                <w:sz w:val="24"/>
                <w:szCs w:val="24"/>
              </w:rPr>
              <w:t>suspicious</w:t>
            </w:r>
            <w:r w:rsidR="00950E3E">
              <w:rPr>
                <w:rFonts w:cstheme="minorHAnsi"/>
                <w:sz w:val="24"/>
                <w:szCs w:val="24"/>
              </w:rPr>
              <w:t xml:space="preserve"> act</w:t>
            </w:r>
            <w:r w:rsidR="00801410" w:rsidRPr="00801410">
              <w:rPr>
                <w:rFonts w:cstheme="minorHAnsi"/>
                <w:sz w:val="24"/>
                <w:szCs w:val="24"/>
              </w:rPr>
              <w:t xml:space="preserve">.  This has potential to unfairly stigmatise </w:t>
            </w:r>
            <w:r w:rsidR="00950E3E">
              <w:rPr>
                <w:rFonts w:cstheme="minorHAnsi"/>
                <w:sz w:val="24"/>
                <w:szCs w:val="24"/>
              </w:rPr>
              <w:t>people</w:t>
            </w:r>
            <w:r w:rsidR="00801410" w:rsidRPr="00801410">
              <w:rPr>
                <w:rFonts w:cstheme="minorHAnsi"/>
                <w:sz w:val="24"/>
                <w:szCs w:val="24"/>
              </w:rPr>
              <w:t xml:space="preserve"> that </w:t>
            </w:r>
            <w:r w:rsidR="00950E3E">
              <w:rPr>
                <w:rFonts w:cstheme="minorHAnsi"/>
                <w:sz w:val="24"/>
                <w:szCs w:val="24"/>
              </w:rPr>
              <w:t xml:space="preserve">may </w:t>
            </w:r>
            <w:r w:rsidR="00801410" w:rsidRPr="00801410">
              <w:rPr>
                <w:rFonts w:cstheme="minorHAnsi"/>
                <w:sz w:val="24"/>
                <w:szCs w:val="24"/>
              </w:rPr>
              <w:t xml:space="preserve">cover their faces for religious reasons.  Wording has been provided </w:t>
            </w:r>
            <w:r w:rsidR="00950E3E">
              <w:rPr>
                <w:rFonts w:cstheme="minorHAnsi"/>
                <w:sz w:val="24"/>
                <w:szCs w:val="24"/>
              </w:rPr>
              <w:t xml:space="preserve">in the document </w:t>
            </w:r>
            <w:r w:rsidR="00801410" w:rsidRPr="00801410">
              <w:rPr>
                <w:rFonts w:cstheme="minorHAnsi"/>
                <w:sz w:val="24"/>
                <w:szCs w:val="24"/>
              </w:rPr>
              <w:t xml:space="preserve">making it </w:t>
            </w:r>
            <w:r w:rsidR="0068141A" w:rsidRPr="00801410">
              <w:rPr>
                <w:rFonts w:cstheme="minorHAnsi"/>
                <w:sz w:val="24"/>
                <w:szCs w:val="24"/>
              </w:rPr>
              <w:t>clearer</w:t>
            </w:r>
            <w:r w:rsidR="00801410" w:rsidRPr="00801410">
              <w:rPr>
                <w:rFonts w:cstheme="minorHAnsi"/>
                <w:sz w:val="24"/>
                <w:szCs w:val="24"/>
              </w:rPr>
              <w:t xml:space="preserve"> what is regarded as a suspicious face covering such as wearing a balaclava or woollen scarf on a hot day or a crash helmet worn in doors.</w:t>
            </w:r>
            <w:r w:rsidR="00D8768E">
              <w:rPr>
                <w:rFonts w:cstheme="minorHAnsi"/>
                <w:sz w:val="24"/>
                <w:szCs w:val="24"/>
              </w:rPr>
              <w:t xml:space="preserve">  Training is provided to staff on Equality and Diversity</w:t>
            </w:r>
            <w:r w:rsidR="002B02E9">
              <w:rPr>
                <w:rFonts w:cstheme="minorHAnsi"/>
                <w:sz w:val="24"/>
                <w:szCs w:val="24"/>
              </w:rPr>
              <w:t xml:space="preserve"> as well as unconscious bias.  This is particularly important for those staff that are public facing</w:t>
            </w:r>
            <w:r w:rsidR="00D8768E">
              <w:rPr>
                <w:rFonts w:cstheme="minorHAnsi"/>
                <w:sz w:val="24"/>
                <w:szCs w:val="24"/>
              </w:rPr>
              <w:t>.</w:t>
            </w:r>
            <w:r w:rsidR="004E2DB8">
              <w:t xml:space="preserve"> </w:t>
            </w:r>
            <w:r w:rsidR="004E2DB8" w:rsidRPr="004E2DB8">
              <w:rPr>
                <w:sz w:val="24"/>
                <w:szCs w:val="24"/>
              </w:rPr>
              <w:t xml:space="preserve">The Guidance </w:t>
            </w:r>
            <w:r w:rsidR="004E2DB8">
              <w:rPr>
                <w:sz w:val="24"/>
                <w:szCs w:val="24"/>
              </w:rPr>
              <w:t xml:space="preserve">should be followed in particular it must be remembered </w:t>
            </w:r>
            <w:r w:rsidR="004E2DB8" w:rsidRPr="004E2DB8">
              <w:rPr>
                <w:sz w:val="24"/>
                <w:szCs w:val="24"/>
              </w:rPr>
              <w:t xml:space="preserve">that behaviour often has innocent explanations and </w:t>
            </w:r>
            <w:r w:rsidR="004E2DB8">
              <w:rPr>
                <w:sz w:val="24"/>
                <w:szCs w:val="24"/>
              </w:rPr>
              <w:t xml:space="preserve">when challenging suspicious </w:t>
            </w:r>
            <w:r w:rsidR="002B02E9">
              <w:rPr>
                <w:sz w:val="24"/>
                <w:szCs w:val="24"/>
              </w:rPr>
              <w:t>behaviour,</w:t>
            </w:r>
            <w:r w:rsidR="004E2DB8">
              <w:rPr>
                <w:sz w:val="24"/>
                <w:szCs w:val="24"/>
              </w:rPr>
              <w:t xml:space="preserve"> </w:t>
            </w:r>
            <w:r w:rsidR="002B02E9">
              <w:rPr>
                <w:sz w:val="24"/>
                <w:szCs w:val="24"/>
              </w:rPr>
              <w:t>it must be remembered that you must be polite and supportive</w:t>
            </w:r>
            <w:r w:rsidR="004E2DB8" w:rsidRPr="004E2DB8">
              <w:rPr>
                <w:sz w:val="24"/>
                <w:szCs w:val="24"/>
              </w:rPr>
              <w:t>. There is also an emphasis on personal safety and comfort</w:t>
            </w:r>
            <w:r w:rsidR="002B02E9">
              <w:rPr>
                <w:sz w:val="24"/>
                <w:szCs w:val="24"/>
              </w:rPr>
              <w:t>, if you feel that the situation is escalating contact the GSA Security who are trained in responding to these situations.</w:t>
            </w:r>
          </w:p>
          <w:p w14:paraId="6DC80037" w14:textId="77777777" w:rsidR="00DD32D9" w:rsidRDefault="00DD32D9" w:rsidP="00E94A36">
            <w:pPr>
              <w:rPr>
                <w:rFonts w:cstheme="minorHAnsi"/>
                <w:sz w:val="24"/>
                <w:szCs w:val="24"/>
              </w:rPr>
            </w:pPr>
          </w:p>
          <w:p w14:paraId="7FAC580D" w14:textId="36FA48BE" w:rsidR="00901416" w:rsidRDefault="00DD32D9" w:rsidP="00901416">
            <w:pPr>
              <w:rPr>
                <w:rFonts w:cstheme="minorHAnsi"/>
                <w:sz w:val="24"/>
                <w:szCs w:val="24"/>
              </w:rPr>
            </w:pPr>
            <w:r w:rsidRPr="00D8768E">
              <w:rPr>
                <w:rFonts w:cstheme="minorHAnsi"/>
                <w:b/>
                <w:bCs/>
                <w:sz w:val="24"/>
                <w:szCs w:val="24"/>
              </w:rPr>
              <w:t>Disability:</w:t>
            </w:r>
            <w:r>
              <w:rPr>
                <w:rFonts w:cstheme="minorHAnsi"/>
                <w:sz w:val="24"/>
                <w:szCs w:val="24"/>
              </w:rPr>
              <w:t xml:space="preserve">  </w:t>
            </w:r>
            <w:r w:rsidR="00C36E8B" w:rsidRPr="00C36E8B">
              <w:rPr>
                <w:rFonts w:cstheme="minorHAnsi"/>
                <w:bCs/>
                <w:sz w:val="24"/>
                <w:szCs w:val="24"/>
              </w:rPr>
              <w:t xml:space="preserve">Some people with mental health conditions learning disabilities, autism, speech or communications differences may behave in a manner that might attract attention and may appear uncomfortable or evasive when questioned.  The guidance document provides advice on what might constitute </w:t>
            </w:r>
            <w:r w:rsidR="00C36E8B" w:rsidRPr="00C36E8B">
              <w:rPr>
                <w:rFonts w:cstheme="minorHAnsi"/>
                <w:bCs/>
                <w:sz w:val="24"/>
                <w:szCs w:val="24"/>
              </w:rPr>
              <w:lastRenderedPageBreak/>
              <w:t xml:space="preserve">suspicious behaviour and emphasises the need for a polite and friendly approach as the majority of cases of suspicious behaviour are likely to have an innocent </w:t>
            </w:r>
            <w:proofErr w:type="gramStart"/>
            <w:r w:rsidR="00C36E8B" w:rsidRPr="00C36E8B">
              <w:rPr>
                <w:rFonts w:cstheme="minorHAnsi"/>
                <w:bCs/>
                <w:sz w:val="24"/>
                <w:szCs w:val="24"/>
              </w:rPr>
              <w:t>explanation.</w:t>
            </w:r>
            <w:r w:rsidR="00352693">
              <w:rPr>
                <w:rFonts w:cstheme="minorHAnsi"/>
                <w:bCs/>
                <w:sz w:val="24"/>
                <w:szCs w:val="24"/>
              </w:rPr>
              <w:t>.</w:t>
            </w:r>
            <w:proofErr w:type="gramEnd"/>
            <w:r w:rsidR="00901416">
              <w:rPr>
                <w:rFonts w:cstheme="minorHAnsi"/>
                <w:bCs/>
                <w:sz w:val="24"/>
                <w:szCs w:val="24"/>
              </w:rPr>
              <w:t xml:space="preserve">  </w:t>
            </w:r>
            <w:r w:rsidR="00901416">
              <w:rPr>
                <w:rFonts w:cstheme="minorHAnsi"/>
                <w:sz w:val="24"/>
                <w:szCs w:val="24"/>
              </w:rPr>
              <w:t>Training is also provided to staff on Equality and Diversity</w:t>
            </w:r>
            <w:r w:rsidR="002B02E9">
              <w:rPr>
                <w:rFonts w:cstheme="minorHAnsi"/>
                <w:sz w:val="24"/>
                <w:szCs w:val="24"/>
              </w:rPr>
              <w:t xml:space="preserve"> </w:t>
            </w:r>
            <w:r w:rsidR="002B02E9" w:rsidRPr="002B02E9">
              <w:rPr>
                <w:rFonts w:cstheme="minorHAnsi"/>
                <w:sz w:val="24"/>
                <w:szCs w:val="24"/>
              </w:rPr>
              <w:t>as well as unconscious bias</w:t>
            </w:r>
            <w:r w:rsidR="00901416">
              <w:rPr>
                <w:rFonts w:cstheme="minorHAnsi"/>
                <w:sz w:val="24"/>
                <w:szCs w:val="24"/>
              </w:rPr>
              <w:t>.</w:t>
            </w:r>
          </w:p>
          <w:p w14:paraId="7F6F30D5" w14:textId="77777777" w:rsidR="00BD0D57" w:rsidRDefault="00BD0D57" w:rsidP="00964FC8">
            <w:pPr>
              <w:rPr>
                <w:rFonts w:cstheme="minorHAnsi"/>
              </w:rPr>
            </w:pPr>
          </w:p>
          <w:p w14:paraId="18C5C3E1" w14:textId="791AC67D" w:rsidR="00C75164" w:rsidRPr="008A5B52" w:rsidRDefault="00C75164" w:rsidP="00964FC8">
            <w:pPr>
              <w:rPr>
                <w:rFonts w:cstheme="minorHAnsi"/>
                <w:sz w:val="24"/>
                <w:szCs w:val="24"/>
              </w:rPr>
            </w:pPr>
            <w:r w:rsidRPr="008A5B52">
              <w:rPr>
                <w:rFonts w:cstheme="minorHAnsi"/>
                <w:sz w:val="24"/>
                <w:szCs w:val="24"/>
              </w:rPr>
              <w:t xml:space="preserve">The Security Team, receptionists and janitors will report incidents </w:t>
            </w:r>
            <w:r w:rsidR="00FB52E5" w:rsidRPr="008A5B52">
              <w:rPr>
                <w:rFonts w:cstheme="minorHAnsi"/>
                <w:sz w:val="24"/>
                <w:szCs w:val="24"/>
              </w:rPr>
              <w:t>of suspicious persons through Awaken and to their team leaders</w:t>
            </w:r>
            <w:r w:rsidR="00101A35" w:rsidRPr="008A5B52">
              <w:rPr>
                <w:rFonts w:cstheme="minorHAnsi"/>
                <w:sz w:val="24"/>
                <w:szCs w:val="24"/>
              </w:rPr>
              <w:t xml:space="preserve">.  </w:t>
            </w:r>
            <w:r w:rsidR="00432CF4" w:rsidRPr="008A5B52">
              <w:rPr>
                <w:rFonts w:cstheme="minorHAnsi"/>
                <w:sz w:val="24"/>
                <w:szCs w:val="24"/>
              </w:rPr>
              <w:t>These will be anonymised and reported to the Health and Safety Committee</w:t>
            </w:r>
            <w:r w:rsidR="00101A35" w:rsidRPr="008A5B52">
              <w:rPr>
                <w:rFonts w:cstheme="minorHAnsi"/>
                <w:sz w:val="24"/>
                <w:szCs w:val="24"/>
              </w:rPr>
              <w:t xml:space="preserve">.  </w:t>
            </w:r>
          </w:p>
          <w:p w14:paraId="7F6B54B5" w14:textId="67B152E3" w:rsidR="00C75164" w:rsidRPr="00BD0D57" w:rsidRDefault="00C75164" w:rsidP="00964FC8">
            <w:pPr>
              <w:rPr>
                <w:rFonts w:cstheme="minorHAnsi"/>
              </w:rPr>
            </w:pPr>
          </w:p>
        </w:tc>
      </w:tr>
      <w:tr w:rsidR="004A1354" w14:paraId="495C6B60" w14:textId="77777777" w:rsidTr="00AF133F">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lastRenderedPageBreak/>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AF133F">
        <w:trPr>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AF133F">
        <w:trPr>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AF133F">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16" w:history="1">
              <w:r w:rsidR="00722345" w:rsidRPr="00AB6150">
                <w:rPr>
                  <w:rStyle w:val="Hyperlink"/>
                  <w:rFonts w:cstheme="minorHAnsi"/>
                  <w:b/>
                  <w:sz w:val="28"/>
                </w:rPr>
                <w:t>2021 - 2025 Equality Outcomes</w:t>
              </w:r>
            </w:hyperlink>
          </w:p>
        </w:tc>
      </w:tr>
      <w:tr w:rsidR="004A1354" w14:paraId="7C79348F" w14:textId="77777777" w:rsidTr="00AF133F">
        <w:tc>
          <w:tcPr>
            <w:tcW w:w="15388" w:type="dxa"/>
            <w:gridSpan w:val="7"/>
          </w:tcPr>
          <w:p w14:paraId="4C794FC9" w14:textId="77777777" w:rsidR="004A1354" w:rsidRDefault="004A1354" w:rsidP="004A1354">
            <w:pPr>
              <w:rPr>
                <w:rFonts w:cstheme="minorHAnsi"/>
                <w:b/>
                <w:sz w:val="28"/>
              </w:rPr>
            </w:pPr>
          </w:p>
          <w:p w14:paraId="7EB3F124" w14:textId="6AAD002D" w:rsidR="004A1354" w:rsidRPr="0068654F" w:rsidRDefault="00E97910" w:rsidP="004A1354">
            <w:pPr>
              <w:rPr>
                <w:rFonts w:cstheme="minorHAnsi"/>
                <w:sz w:val="24"/>
                <w:szCs w:val="24"/>
              </w:rPr>
            </w:pPr>
            <w:r w:rsidRPr="0068654F">
              <w:rPr>
                <w:rFonts w:cstheme="minorHAnsi"/>
                <w:sz w:val="24"/>
                <w:szCs w:val="24"/>
              </w:rPr>
              <w:t xml:space="preserve">This guidance will </w:t>
            </w:r>
            <w:r>
              <w:rPr>
                <w:rFonts w:cstheme="minorHAnsi"/>
                <w:sz w:val="24"/>
                <w:szCs w:val="24"/>
              </w:rPr>
              <w:t xml:space="preserve">support all persons working, studying or visiting the GSA and help them to participate in GSA activities </w:t>
            </w:r>
            <w:r w:rsidR="00DA2A16">
              <w:rPr>
                <w:rFonts w:cstheme="minorHAnsi"/>
                <w:sz w:val="24"/>
                <w:szCs w:val="24"/>
              </w:rPr>
              <w:t xml:space="preserve">in a secure environment </w:t>
            </w:r>
            <w:r>
              <w:rPr>
                <w:rFonts w:cstheme="minorHAnsi"/>
                <w:sz w:val="24"/>
                <w:szCs w:val="24"/>
              </w:rPr>
              <w:t>regardless of any protected characteristics</w:t>
            </w:r>
            <w:r w:rsidRPr="0068654F">
              <w:rPr>
                <w:rFonts w:cstheme="minorHAnsi"/>
                <w:sz w:val="24"/>
                <w:szCs w:val="24"/>
              </w:rPr>
              <w:t>.</w:t>
            </w:r>
          </w:p>
          <w:p w14:paraId="51531C80" w14:textId="39076B94" w:rsidR="00801410" w:rsidRDefault="00801410" w:rsidP="004A1354">
            <w:pPr>
              <w:rPr>
                <w:rFonts w:cstheme="minorHAnsi"/>
                <w:b/>
                <w:sz w:val="28"/>
              </w:rPr>
            </w:pPr>
          </w:p>
        </w:tc>
      </w:tr>
      <w:tr w:rsidR="00907FCC" w14:paraId="05AE1659" w14:textId="77777777" w:rsidTr="00AF133F">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17"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AF133F">
        <w:tc>
          <w:tcPr>
            <w:tcW w:w="15388" w:type="dxa"/>
            <w:gridSpan w:val="7"/>
          </w:tcPr>
          <w:p w14:paraId="08A11A5E" w14:textId="0EB22ACA" w:rsidR="00465909" w:rsidRPr="00BE3CD4" w:rsidRDefault="0068654F" w:rsidP="004A1354">
            <w:pPr>
              <w:rPr>
                <w:rFonts w:cstheme="minorHAnsi"/>
                <w:sz w:val="24"/>
                <w:szCs w:val="24"/>
              </w:rPr>
            </w:pPr>
            <w:r w:rsidRPr="00BE3CD4">
              <w:rPr>
                <w:rFonts w:cstheme="minorHAnsi"/>
                <w:sz w:val="24"/>
                <w:szCs w:val="24"/>
              </w:rPr>
              <w:t xml:space="preserve">This guidance will </w:t>
            </w:r>
            <w:r w:rsidR="00E97910" w:rsidRPr="00BE3CD4">
              <w:rPr>
                <w:rFonts w:cstheme="minorHAnsi"/>
                <w:sz w:val="24"/>
                <w:szCs w:val="24"/>
              </w:rPr>
              <w:t xml:space="preserve">support </w:t>
            </w:r>
            <w:r w:rsidR="00493921" w:rsidRPr="00BE3CD4">
              <w:rPr>
                <w:rFonts w:cstheme="minorHAnsi"/>
                <w:sz w:val="24"/>
                <w:szCs w:val="24"/>
              </w:rPr>
              <w:t>all persons</w:t>
            </w:r>
            <w:r w:rsidR="00E97910" w:rsidRPr="00BE3CD4">
              <w:rPr>
                <w:rFonts w:cstheme="minorHAnsi"/>
                <w:sz w:val="24"/>
                <w:szCs w:val="24"/>
              </w:rPr>
              <w:t xml:space="preserve"> working, studying or visiting</w:t>
            </w:r>
            <w:r w:rsidR="00493921" w:rsidRPr="00BE3CD4">
              <w:rPr>
                <w:rFonts w:cstheme="minorHAnsi"/>
                <w:sz w:val="24"/>
                <w:szCs w:val="24"/>
              </w:rPr>
              <w:t xml:space="preserve"> the GSA and help them to participate in GSA activities regardless of any protected </w:t>
            </w:r>
            <w:r w:rsidR="00E97910" w:rsidRPr="00BE3CD4">
              <w:rPr>
                <w:rFonts w:cstheme="minorHAnsi"/>
                <w:sz w:val="24"/>
                <w:szCs w:val="24"/>
              </w:rPr>
              <w:t>characteristics</w:t>
            </w:r>
            <w:r w:rsidRPr="00BE3CD4">
              <w:rPr>
                <w:rFonts w:cstheme="minorHAnsi"/>
                <w:sz w:val="24"/>
                <w:szCs w:val="24"/>
              </w:rPr>
              <w:t>.</w:t>
            </w:r>
            <w:r w:rsidR="00CA5585" w:rsidRPr="00BE3CD4">
              <w:rPr>
                <w:rFonts w:cstheme="minorHAnsi"/>
                <w:sz w:val="24"/>
                <w:szCs w:val="24"/>
              </w:rPr>
              <w:t xml:space="preserve"> </w:t>
            </w:r>
          </w:p>
          <w:p w14:paraId="54A69B45" w14:textId="0AAC2200" w:rsidR="00A75689" w:rsidRPr="00BE3CD4" w:rsidRDefault="00465909" w:rsidP="004A1354">
            <w:pPr>
              <w:rPr>
                <w:rFonts w:cstheme="minorHAnsi"/>
                <w:sz w:val="24"/>
                <w:szCs w:val="24"/>
              </w:rPr>
            </w:pPr>
            <w:r w:rsidRPr="00BE3CD4">
              <w:rPr>
                <w:rFonts w:cstheme="minorHAnsi"/>
                <w:sz w:val="24"/>
                <w:szCs w:val="24"/>
              </w:rPr>
              <w:t xml:space="preserve">We will </w:t>
            </w:r>
            <w:r w:rsidRPr="00BE3CD4">
              <w:rPr>
                <w:sz w:val="24"/>
                <w:szCs w:val="24"/>
              </w:rPr>
              <w:t>c</w:t>
            </w:r>
            <w:r w:rsidR="00CA5585" w:rsidRPr="00BE3CD4">
              <w:rPr>
                <w:sz w:val="24"/>
                <w:szCs w:val="24"/>
              </w:rPr>
              <w:t>ontinue to evaluate our physical and digital environment, aiming to optimise accessibility and inclusivity by acknowledging and providing for the needs of our students, staff and stakeholders</w:t>
            </w:r>
          </w:p>
          <w:p w14:paraId="3812344B" w14:textId="50EA1C49" w:rsidR="00A75689" w:rsidRDefault="00A75689" w:rsidP="004A1354">
            <w:pPr>
              <w:rPr>
                <w:rFonts w:cstheme="minorHAnsi"/>
                <w:b/>
                <w:sz w:val="28"/>
              </w:rPr>
            </w:pPr>
          </w:p>
        </w:tc>
      </w:tr>
      <w:tr w:rsidR="00A75689" w14:paraId="2EF7E1C6" w14:textId="77777777" w:rsidTr="00AF133F">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AF133F">
        <w:tc>
          <w:tcPr>
            <w:tcW w:w="15388" w:type="dxa"/>
            <w:gridSpan w:val="7"/>
          </w:tcPr>
          <w:p w14:paraId="0523A94C" w14:textId="77777777" w:rsidR="00A75689" w:rsidRDefault="00A75689" w:rsidP="004A1354">
            <w:pPr>
              <w:rPr>
                <w:rFonts w:cstheme="minorHAnsi"/>
                <w:b/>
                <w:sz w:val="28"/>
              </w:rPr>
            </w:pPr>
          </w:p>
          <w:p w14:paraId="704C9289" w14:textId="36A5B8E0" w:rsidR="00515937" w:rsidRDefault="001C5737" w:rsidP="004A1354">
            <w:pPr>
              <w:rPr>
                <w:rFonts w:cstheme="minorHAnsi"/>
                <w:sz w:val="24"/>
                <w:szCs w:val="24"/>
              </w:rPr>
            </w:pPr>
            <w:r w:rsidRPr="0068654F">
              <w:rPr>
                <w:rFonts w:cstheme="minorHAnsi"/>
                <w:sz w:val="24"/>
                <w:szCs w:val="24"/>
              </w:rPr>
              <w:lastRenderedPageBreak/>
              <w:t xml:space="preserve">This </w:t>
            </w:r>
            <w:r w:rsidR="006D0077">
              <w:rPr>
                <w:rFonts w:cstheme="minorHAnsi"/>
                <w:sz w:val="24"/>
                <w:szCs w:val="24"/>
              </w:rPr>
              <w:t>guidance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w:t>
            </w:r>
            <w:r w:rsidR="00CC148B">
              <w:rPr>
                <w:rFonts w:cstheme="minorHAnsi"/>
                <w:sz w:val="24"/>
                <w:szCs w:val="24"/>
              </w:rPr>
              <w:t xml:space="preserve"> and guidance</w:t>
            </w:r>
            <w:r w:rsidR="00BD0D57" w:rsidRPr="0068654F">
              <w:rPr>
                <w:rFonts w:cstheme="minorHAnsi"/>
                <w:sz w:val="24"/>
                <w:szCs w:val="24"/>
              </w:rPr>
              <w:t xml:space="preserve"> review plan.  It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Pr="007F2E67" w:rsidRDefault="008075BC" w:rsidP="000110A8">
      <w:pPr>
        <w:rPr>
          <w:rFonts w:cstheme="minorHAnsi"/>
          <w:b/>
          <w:sz w:val="16"/>
          <w:szCs w:val="16"/>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4E32111B" w:rsidR="008075BC" w:rsidRDefault="005A1974" w:rsidP="000110A8">
            <w:pPr>
              <w:rPr>
                <w:rFonts w:cstheme="minorHAnsi"/>
                <w:b/>
                <w:sz w:val="28"/>
              </w:rPr>
            </w:pPr>
            <w:r>
              <w:rPr>
                <w:rFonts w:cstheme="minorHAnsi"/>
                <w:b/>
                <w:sz w:val="28"/>
              </w:rPr>
              <w:t>February</w:t>
            </w:r>
            <w:r w:rsidR="00BD0D57">
              <w:rPr>
                <w:rFonts w:cstheme="minorHAnsi"/>
                <w:b/>
                <w:sz w:val="28"/>
              </w:rPr>
              <w:t xml:space="preserve"> 202</w:t>
            </w:r>
            <w:r w:rsidR="002027D7">
              <w:rPr>
                <w:rFonts w:cstheme="minorHAnsi"/>
                <w:b/>
                <w:sz w:val="28"/>
              </w:rPr>
              <w:t>9</w:t>
            </w:r>
          </w:p>
        </w:tc>
      </w:tr>
    </w:tbl>
    <w:p w14:paraId="23E21406" w14:textId="77777777" w:rsidR="008075BC" w:rsidRPr="007F2E67" w:rsidRDefault="008075BC" w:rsidP="000110A8">
      <w:pPr>
        <w:rPr>
          <w:rFonts w:cstheme="minorHAnsi"/>
          <w:b/>
          <w:sz w:val="16"/>
        </w:rPr>
      </w:pPr>
    </w:p>
    <w:tbl>
      <w:tblPr>
        <w:tblStyle w:val="TableGrid"/>
        <w:tblW w:w="0" w:type="auto"/>
        <w:tblLook w:val="04A0" w:firstRow="1" w:lastRow="0" w:firstColumn="1" w:lastColumn="0" w:noHBand="0" w:noVBand="1"/>
      </w:tblPr>
      <w:tblGrid>
        <w:gridCol w:w="11194"/>
        <w:gridCol w:w="4194"/>
      </w:tblGrid>
      <w:tr w:rsidR="008075BC" w14:paraId="7B2689EE" w14:textId="77777777" w:rsidTr="55DA0E38">
        <w:tc>
          <w:tcPr>
            <w:tcW w:w="11194" w:type="dxa"/>
            <w:shd w:val="clear" w:color="auto" w:fill="FFFFFF" w:themeFill="background1"/>
          </w:tcPr>
          <w:p w14:paraId="64C9552A" w14:textId="3002C2F8"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14:paraId="1AD5122A" w14:textId="00ADCF7E" w:rsidR="008075BC" w:rsidRPr="00515937" w:rsidRDefault="006F6288" w:rsidP="000110A8">
            <w:pPr>
              <w:rPr>
                <w:rFonts w:cstheme="minorHAnsi"/>
                <w:sz w:val="28"/>
              </w:rPr>
            </w:pPr>
            <w:r>
              <w:rPr>
                <w:rFonts w:cstheme="minorHAnsi"/>
                <w:sz w:val="28"/>
              </w:rPr>
              <w:t>13</w:t>
            </w:r>
            <w:r w:rsidR="00BD0D57">
              <w:rPr>
                <w:rFonts w:cstheme="minorHAnsi"/>
                <w:sz w:val="28"/>
              </w:rPr>
              <w:t>/</w:t>
            </w:r>
            <w:r w:rsidR="007F2E67">
              <w:rPr>
                <w:rFonts w:cstheme="minorHAnsi"/>
                <w:sz w:val="28"/>
              </w:rPr>
              <w:t>0</w:t>
            </w:r>
            <w:r>
              <w:rPr>
                <w:rFonts w:cstheme="minorHAnsi"/>
                <w:sz w:val="28"/>
              </w:rPr>
              <w:t>4</w:t>
            </w:r>
            <w:r w:rsidR="00BD0D57">
              <w:rPr>
                <w:rFonts w:cstheme="minorHAnsi"/>
                <w:sz w:val="28"/>
              </w:rPr>
              <w:t>/2</w:t>
            </w:r>
            <w:r w:rsidR="007F2E67">
              <w:rPr>
                <w:rFonts w:cstheme="minorHAnsi"/>
                <w:sz w:val="28"/>
              </w:rPr>
              <w:t>026</w:t>
            </w:r>
            <w:r w:rsidR="00C36E8B">
              <w:rPr>
                <w:rFonts w:cstheme="minorHAnsi"/>
                <w:sz w:val="28"/>
              </w:rPr>
              <w:t xml:space="preserve"> </w:t>
            </w:r>
            <w:r w:rsidR="00C36E8B">
              <w:rPr>
                <w:rFonts w:cstheme="minorHAnsi"/>
                <w:noProof/>
                <w:sz w:val="28"/>
              </w:rPr>
              <w:drawing>
                <wp:inline distT="0" distB="0" distL="0" distR="0" wp14:anchorId="26FDBD9C" wp14:editId="17B8E452">
                  <wp:extent cx="1219099" cy="414494"/>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219099" cy="414494"/>
                          </a:xfrm>
                          <a:prstGeom prst="rect">
                            <a:avLst/>
                          </a:prstGeom>
                        </pic:spPr>
                      </pic:pic>
                    </a:graphicData>
                  </a:graphic>
                </wp:inline>
              </w:drawing>
            </w:r>
          </w:p>
        </w:tc>
      </w:tr>
      <w:tr w:rsidR="008075BC" w14:paraId="107F8A43" w14:textId="77777777" w:rsidTr="55DA0E38">
        <w:tc>
          <w:tcPr>
            <w:tcW w:w="11194" w:type="dxa"/>
          </w:tcPr>
          <w:p w14:paraId="108663E7" w14:textId="31A69CD1"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14:paraId="0EB352E3" w14:textId="51567822" w:rsidR="008075BC" w:rsidRPr="00515937" w:rsidRDefault="5FDDA542" w:rsidP="55DA0E38">
            <w:pPr>
              <w:rPr>
                <w:sz w:val="28"/>
                <w:szCs w:val="28"/>
              </w:rPr>
            </w:pPr>
            <w:r w:rsidRPr="55DA0E38">
              <w:rPr>
                <w:sz w:val="28"/>
                <w:szCs w:val="28"/>
              </w:rPr>
              <w:t xml:space="preserve">19/04/26 </w:t>
            </w:r>
            <w:r>
              <w:rPr>
                <w:noProof/>
              </w:rPr>
              <w:drawing>
                <wp:inline distT="0" distB="0" distL="0" distR="0" wp14:anchorId="7B9C6C64" wp14:editId="4C7EAAF2">
                  <wp:extent cx="1504950" cy="353435"/>
                  <wp:effectExtent l="0" t="0" r="0" b="0"/>
                  <wp:docPr id="2281153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15312" name="Picture 228115312"/>
                          <pic:cNvPicPr/>
                        </pic:nvPicPr>
                        <pic:blipFill>
                          <a:blip r:embed="rId19">
                            <a:extLst>
                              <a:ext uri="{28A0092B-C50C-407E-A947-70E740481C1C}">
                                <a14:useLocalDpi xmlns:a14="http://schemas.microsoft.com/office/drawing/2010/main"/>
                              </a:ext>
                            </a:extLst>
                          </a:blip>
                          <a:stretch>
                            <a:fillRect/>
                          </a:stretch>
                        </pic:blipFill>
                        <pic:spPr>
                          <a:xfrm>
                            <a:off x="0" y="0"/>
                            <a:ext cx="1504950" cy="353435"/>
                          </a:xfrm>
                          <a:prstGeom prst="rect">
                            <a:avLst/>
                          </a:prstGeom>
                        </pic:spPr>
                      </pic:pic>
                    </a:graphicData>
                  </a:graphic>
                </wp:inline>
              </w:drawing>
            </w:r>
          </w:p>
        </w:tc>
      </w:tr>
      <w:tr w:rsidR="008075BC" w14:paraId="19E8D3D1" w14:textId="77777777" w:rsidTr="55DA0E38">
        <w:tc>
          <w:tcPr>
            <w:tcW w:w="11194" w:type="dxa"/>
          </w:tcPr>
          <w:p w14:paraId="07E7DDDF" w14:textId="5A254E99" w:rsidR="008075BC" w:rsidRPr="00737005" w:rsidRDefault="00515937" w:rsidP="000110A8">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14:paraId="653769F5" w14:textId="27AE7ADC" w:rsidR="008075BC" w:rsidRPr="00515937" w:rsidRDefault="00F442BF" w:rsidP="000110A8">
            <w:pPr>
              <w:rPr>
                <w:rFonts w:cstheme="minorHAnsi"/>
                <w:sz w:val="28"/>
              </w:rPr>
            </w:pPr>
            <w:r>
              <w:rPr>
                <w:rFonts w:cstheme="minorHAnsi"/>
                <w:sz w:val="28"/>
              </w:rPr>
              <w:t>17/04/2026</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AB99" w14:textId="77777777" w:rsidR="00452EEF" w:rsidRDefault="00452EEF" w:rsidP="002A5421">
      <w:pPr>
        <w:spacing w:after="0" w:line="240" w:lineRule="auto"/>
      </w:pPr>
      <w:r>
        <w:separator/>
      </w:r>
    </w:p>
  </w:endnote>
  <w:endnote w:type="continuationSeparator" w:id="0">
    <w:p w14:paraId="5E1C2323" w14:textId="77777777" w:rsidR="00452EEF" w:rsidRDefault="00452EEF"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57CA" w14:textId="77777777" w:rsidR="00452EEF" w:rsidRDefault="00452EEF" w:rsidP="002A5421">
      <w:pPr>
        <w:spacing w:after="0" w:line="240" w:lineRule="auto"/>
      </w:pPr>
      <w:r>
        <w:separator/>
      </w:r>
    </w:p>
  </w:footnote>
  <w:footnote w:type="continuationSeparator" w:id="0">
    <w:p w14:paraId="165C0110" w14:textId="77777777" w:rsidR="00452EEF" w:rsidRDefault="00452EEF"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68"/>
    <w:multiLevelType w:val="hybridMultilevel"/>
    <w:tmpl w:val="CE46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15DBB"/>
    <w:multiLevelType w:val="hybridMultilevel"/>
    <w:tmpl w:val="48009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560F"/>
    <w:rsid w:val="0000675C"/>
    <w:rsid w:val="000110A8"/>
    <w:rsid w:val="00013C7D"/>
    <w:rsid w:val="00013FA8"/>
    <w:rsid w:val="000355DD"/>
    <w:rsid w:val="000418BF"/>
    <w:rsid w:val="000456AF"/>
    <w:rsid w:val="00054965"/>
    <w:rsid w:val="000644CA"/>
    <w:rsid w:val="000657D6"/>
    <w:rsid w:val="0006606F"/>
    <w:rsid w:val="000A54EF"/>
    <w:rsid w:val="000A6ECA"/>
    <w:rsid w:val="000B4536"/>
    <w:rsid w:val="000C0C3E"/>
    <w:rsid w:val="000D337B"/>
    <w:rsid w:val="000E5780"/>
    <w:rsid w:val="000F1E89"/>
    <w:rsid w:val="00101A35"/>
    <w:rsid w:val="0010435C"/>
    <w:rsid w:val="0010550B"/>
    <w:rsid w:val="00121F66"/>
    <w:rsid w:val="00134A47"/>
    <w:rsid w:val="00137FBA"/>
    <w:rsid w:val="001447D7"/>
    <w:rsid w:val="00171B42"/>
    <w:rsid w:val="0017287A"/>
    <w:rsid w:val="0018239E"/>
    <w:rsid w:val="00193CF2"/>
    <w:rsid w:val="001A2D89"/>
    <w:rsid w:val="001A6961"/>
    <w:rsid w:val="001B1D19"/>
    <w:rsid w:val="001B33FA"/>
    <w:rsid w:val="001B5370"/>
    <w:rsid w:val="001C24FF"/>
    <w:rsid w:val="001C4E14"/>
    <w:rsid w:val="001C5737"/>
    <w:rsid w:val="001D2816"/>
    <w:rsid w:val="001D369D"/>
    <w:rsid w:val="001E439B"/>
    <w:rsid w:val="001F5D4D"/>
    <w:rsid w:val="00202026"/>
    <w:rsid w:val="002027D7"/>
    <w:rsid w:val="0020662F"/>
    <w:rsid w:val="00223DB1"/>
    <w:rsid w:val="00225E33"/>
    <w:rsid w:val="002269B9"/>
    <w:rsid w:val="00260DEB"/>
    <w:rsid w:val="00262F00"/>
    <w:rsid w:val="002708A8"/>
    <w:rsid w:val="00274150"/>
    <w:rsid w:val="0029269A"/>
    <w:rsid w:val="002A5421"/>
    <w:rsid w:val="002B02E9"/>
    <w:rsid w:val="002B6E0B"/>
    <w:rsid w:val="002C6B9F"/>
    <w:rsid w:val="002D5033"/>
    <w:rsid w:val="002F00DB"/>
    <w:rsid w:val="00300FA6"/>
    <w:rsid w:val="0030112F"/>
    <w:rsid w:val="00304252"/>
    <w:rsid w:val="003235C6"/>
    <w:rsid w:val="0032467D"/>
    <w:rsid w:val="0033172E"/>
    <w:rsid w:val="00332211"/>
    <w:rsid w:val="00352693"/>
    <w:rsid w:val="00366FD5"/>
    <w:rsid w:val="00381E06"/>
    <w:rsid w:val="0039218C"/>
    <w:rsid w:val="00393253"/>
    <w:rsid w:val="003964E2"/>
    <w:rsid w:val="003B6586"/>
    <w:rsid w:val="003B6AF6"/>
    <w:rsid w:val="003D40BC"/>
    <w:rsid w:val="003D40F2"/>
    <w:rsid w:val="003D453E"/>
    <w:rsid w:val="0040707D"/>
    <w:rsid w:val="004105CA"/>
    <w:rsid w:val="00432CF4"/>
    <w:rsid w:val="00435AA3"/>
    <w:rsid w:val="004425CE"/>
    <w:rsid w:val="00447F13"/>
    <w:rsid w:val="00452EEF"/>
    <w:rsid w:val="00465909"/>
    <w:rsid w:val="0047688C"/>
    <w:rsid w:val="00490221"/>
    <w:rsid w:val="00493921"/>
    <w:rsid w:val="00493FB3"/>
    <w:rsid w:val="004A1354"/>
    <w:rsid w:val="004A236F"/>
    <w:rsid w:val="004A3AD7"/>
    <w:rsid w:val="004B47F1"/>
    <w:rsid w:val="004E13A6"/>
    <w:rsid w:val="004E2DB8"/>
    <w:rsid w:val="004E719B"/>
    <w:rsid w:val="004F19DA"/>
    <w:rsid w:val="00504781"/>
    <w:rsid w:val="005074D0"/>
    <w:rsid w:val="005079C6"/>
    <w:rsid w:val="00507BA8"/>
    <w:rsid w:val="00515937"/>
    <w:rsid w:val="00515D10"/>
    <w:rsid w:val="00516569"/>
    <w:rsid w:val="005201D6"/>
    <w:rsid w:val="005417DF"/>
    <w:rsid w:val="005477E2"/>
    <w:rsid w:val="005479BB"/>
    <w:rsid w:val="00550C92"/>
    <w:rsid w:val="00555503"/>
    <w:rsid w:val="00556DBE"/>
    <w:rsid w:val="0056213E"/>
    <w:rsid w:val="00571D76"/>
    <w:rsid w:val="00577603"/>
    <w:rsid w:val="00577A29"/>
    <w:rsid w:val="00590F55"/>
    <w:rsid w:val="005A1974"/>
    <w:rsid w:val="005A1C8B"/>
    <w:rsid w:val="005A74E1"/>
    <w:rsid w:val="005B28AF"/>
    <w:rsid w:val="005B390D"/>
    <w:rsid w:val="005B577F"/>
    <w:rsid w:val="005E0DCA"/>
    <w:rsid w:val="005E2323"/>
    <w:rsid w:val="005F6BA4"/>
    <w:rsid w:val="0060061F"/>
    <w:rsid w:val="00604977"/>
    <w:rsid w:val="00617CF0"/>
    <w:rsid w:val="00632361"/>
    <w:rsid w:val="006449EE"/>
    <w:rsid w:val="00645EC3"/>
    <w:rsid w:val="006501F2"/>
    <w:rsid w:val="006623F3"/>
    <w:rsid w:val="00671915"/>
    <w:rsid w:val="0068141A"/>
    <w:rsid w:val="00684802"/>
    <w:rsid w:val="006850B9"/>
    <w:rsid w:val="0068654F"/>
    <w:rsid w:val="00686F56"/>
    <w:rsid w:val="006A0359"/>
    <w:rsid w:val="006A0A24"/>
    <w:rsid w:val="006B5C10"/>
    <w:rsid w:val="006C7526"/>
    <w:rsid w:val="006C7FBD"/>
    <w:rsid w:val="006D0077"/>
    <w:rsid w:val="006D2FA2"/>
    <w:rsid w:val="006E7B9D"/>
    <w:rsid w:val="006F162C"/>
    <w:rsid w:val="006F1F16"/>
    <w:rsid w:val="006F2772"/>
    <w:rsid w:val="006F591F"/>
    <w:rsid w:val="006F5E95"/>
    <w:rsid w:val="006F6288"/>
    <w:rsid w:val="006F7258"/>
    <w:rsid w:val="0070367D"/>
    <w:rsid w:val="00704048"/>
    <w:rsid w:val="0070444B"/>
    <w:rsid w:val="00710D44"/>
    <w:rsid w:val="00713141"/>
    <w:rsid w:val="0071772F"/>
    <w:rsid w:val="0072049C"/>
    <w:rsid w:val="00722345"/>
    <w:rsid w:val="00734408"/>
    <w:rsid w:val="00734D39"/>
    <w:rsid w:val="00737005"/>
    <w:rsid w:val="0075559F"/>
    <w:rsid w:val="0075666E"/>
    <w:rsid w:val="00764460"/>
    <w:rsid w:val="007663A5"/>
    <w:rsid w:val="00767589"/>
    <w:rsid w:val="007713A2"/>
    <w:rsid w:val="00784D56"/>
    <w:rsid w:val="00786704"/>
    <w:rsid w:val="0079624E"/>
    <w:rsid w:val="007A3C2D"/>
    <w:rsid w:val="007A514C"/>
    <w:rsid w:val="007B3AC9"/>
    <w:rsid w:val="007C145A"/>
    <w:rsid w:val="007F2E67"/>
    <w:rsid w:val="00801410"/>
    <w:rsid w:val="008075BC"/>
    <w:rsid w:val="00811DC9"/>
    <w:rsid w:val="0081483D"/>
    <w:rsid w:val="008175B8"/>
    <w:rsid w:val="0082242E"/>
    <w:rsid w:val="00831D77"/>
    <w:rsid w:val="00846F98"/>
    <w:rsid w:val="008601FE"/>
    <w:rsid w:val="008614D2"/>
    <w:rsid w:val="008A5B52"/>
    <w:rsid w:val="008C4121"/>
    <w:rsid w:val="008D413F"/>
    <w:rsid w:val="00901416"/>
    <w:rsid w:val="00902B8B"/>
    <w:rsid w:val="0090613B"/>
    <w:rsid w:val="00906629"/>
    <w:rsid w:val="00907FCC"/>
    <w:rsid w:val="00917511"/>
    <w:rsid w:val="00942F27"/>
    <w:rsid w:val="00950E3E"/>
    <w:rsid w:val="00955A46"/>
    <w:rsid w:val="00963772"/>
    <w:rsid w:val="0096449B"/>
    <w:rsid w:val="00964FC8"/>
    <w:rsid w:val="0097104F"/>
    <w:rsid w:val="00975DA2"/>
    <w:rsid w:val="00976CF1"/>
    <w:rsid w:val="00981ACA"/>
    <w:rsid w:val="00982668"/>
    <w:rsid w:val="00985F69"/>
    <w:rsid w:val="00993BCD"/>
    <w:rsid w:val="009958E6"/>
    <w:rsid w:val="009A2316"/>
    <w:rsid w:val="009A7095"/>
    <w:rsid w:val="009B21FA"/>
    <w:rsid w:val="009B2372"/>
    <w:rsid w:val="009B685B"/>
    <w:rsid w:val="009B6AFC"/>
    <w:rsid w:val="009C52DC"/>
    <w:rsid w:val="009C647B"/>
    <w:rsid w:val="009D2124"/>
    <w:rsid w:val="009D2F48"/>
    <w:rsid w:val="009E0753"/>
    <w:rsid w:val="009F4F7C"/>
    <w:rsid w:val="00A07978"/>
    <w:rsid w:val="00A367E5"/>
    <w:rsid w:val="00A36D9A"/>
    <w:rsid w:val="00A50940"/>
    <w:rsid w:val="00A5198C"/>
    <w:rsid w:val="00A63D0B"/>
    <w:rsid w:val="00A64DE3"/>
    <w:rsid w:val="00A70285"/>
    <w:rsid w:val="00A71187"/>
    <w:rsid w:val="00A75689"/>
    <w:rsid w:val="00A8328E"/>
    <w:rsid w:val="00AA721F"/>
    <w:rsid w:val="00AB6150"/>
    <w:rsid w:val="00AB7C19"/>
    <w:rsid w:val="00AC1DB2"/>
    <w:rsid w:val="00AE4C7F"/>
    <w:rsid w:val="00AF133F"/>
    <w:rsid w:val="00B107D1"/>
    <w:rsid w:val="00B11DF7"/>
    <w:rsid w:val="00B12C94"/>
    <w:rsid w:val="00B12EA9"/>
    <w:rsid w:val="00B31146"/>
    <w:rsid w:val="00B56B55"/>
    <w:rsid w:val="00B67D84"/>
    <w:rsid w:val="00B753FB"/>
    <w:rsid w:val="00B806F4"/>
    <w:rsid w:val="00B81D50"/>
    <w:rsid w:val="00B85326"/>
    <w:rsid w:val="00B856FD"/>
    <w:rsid w:val="00BB0B02"/>
    <w:rsid w:val="00BB7CA5"/>
    <w:rsid w:val="00BD0160"/>
    <w:rsid w:val="00BD0D57"/>
    <w:rsid w:val="00BD2555"/>
    <w:rsid w:val="00BD4BA6"/>
    <w:rsid w:val="00BD506B"/>
    <w:rsid w:val="00BE3CD4"/>
    <w:rsid w:val="00BE413E"/>
    <w:rsid w:val="00C06C76"/>
    <w:rsid w:val="00C149DE"/>
    <w:rsid w:val="00C26DA1"/>
    <w:rsid w:val="00C36E8B"/>
    <w:rsid w:val="00C5289A"/>
    <w:rsid w:val="00C61FD2"/>
    <w:rsid w:val="00C62D03"/>
    <w:rsid w:val="00C66CB9"/>
    <w:rsid w:val="00C72C2D"/>
    <w:rsid w:val="00C74A1C"/>
    <w:rsid w:val="00C75164"/>
    <w:rsid w:val="00C855E7"/>
    <w:rsid w:val="00C939DD"/>
    <w:rsid w:val="00C973C1"/>
    <w:rsid w:val="00CA5585"/>
    <w:rsid w:val="00CB3E47"/>
    <w:rsid w:val="00CB6524"/>
    <w:rsid w:val="00CC148B"/>
    <w:rsid w:val="00CD0914"/>
    <w:rsid w:val="00CD7093"/>
    <w:rsid w:val="00CE67BE"/>
    <w:rsid w:val="00CF4AB7"/>
    <w:rsid w:val="00D16572"/>
    <w:rsid w:val="00D23584"/>
    <w:rsid w:val="00D27AF9"/>
    <w:rsid w:val="00D300A2"/>
    <w:rsid w:val="00D30D89"/>
    <w:rsid w:val="00D35994"/>
    <w:rsid w:val="00D4023E"/>
    <w:rsid w:val="00D42A04"/>
    <w:rsid w:val="00D57BD2"/>
    <w:rsid w:val="00D61AF4"/>
    <w:rsid w:val="00D63322"/>
    <w:rsid w:val="00D65459"/>
    <w:rsid w:val="00D66A11"/>
    <w:rsid w:val="00D83767"/>
    <w:rsid w:val="00D8768E"/>
    <w:rsid w:val="00D94736"/>
    <w:rsid w:val="00D9543F"/>
    <w:rsid w:val="00DA2A16"/>
    <w:rsid w:val="00DA56DE"/>
    <w:rsid w:val="00DB5A63"/>
    <w:rsid w:val="00DB718C"/>
    <w:rsid w:val="00DC2B6C"/>
    <w:rsid w:val="00DC54C2"/>
    <w:rsid w:val="00DC7DDE"/>
    <w:rsid w:val="00DD32D9"/>
    <w:rsid w:val="00DE582A"/>
    <w:rsid w:val="00DE71AA"/>
    <w:rsid w:val="00DF1240"/>
    <w:rsid w:val="00DF1CA2"/>
    <w:rsid w:val="00DF5404"/>
    <w:rsid w:val="00E054DC"/>
    <w:rsid w:val="00E17D39"/>
    <w:rsid w:val="00E21C67"/>
    <w:rsid w:val="00E22303"/>
    <w:rsid w:val="00E32F64"/>
    <w:rsid w:val="00E44A52"/>
    <w:rsid w:val="00E57BD6"/>
    <w:rsid w:val="00E64643"/>
    <w:rsid w:val="00E66C1F"/>
    <w:rsid w:val="00E74198"/>
    <w:rsid w:val="00E84A8C"/>
    <w:rsid w:val="00E85D3A"/>
    <w:rsid w:val="00E86919"/>
    <w:rsid w:val="00E94A36"/>
    <w:rsid w:val="00E95C40"/>
    <w:rsid w:val="00E97910"/>
    <w:rsid w:val="00EB0EC5"/>
    <w:rsid w:val="00ED0533"/>
    <w:rsid w:val="00ED096D"/>
    <w:rsid w:val="00ED4B98"/>
    <w:rsid w:val="00EF00A5"/>
    <w:rsid w:val="00EF2704"/>
    <w:rsid w:val="00EF2711"/>
    <w:rsid w:val="00EF513A"/>
    <w:rsid w:val="00EF5A22"/>
    <w:rsid w:val="00F00CDC"/>
    <w:rsid w:val="00F03298"/>
    <w:rsid w:val="00F03E83"/>
    <w:rsid w:val="00F045F4"/>
    <w:rsid w:val="00F13667"/>
    <w:rsid w:val="00F16090"/>
    <w:rsid w:val="00F22C30"/>
    <w:rsid w:val="00F33CAF"/>
    <w:rsid w:val="00F40B0C"/>
    <w:rsid w:val="00F442BF"/>
    <w:rsid w:val="00F5503E"/>
    <w:rsid w:val="00F6188A"/>
    <w:rsid w:val="00F67A12"/>
    <w:rsid w:val="00F708EA"/>
    <w:rsid w:val="00F84AD2"/>
    <w:rsid w:val="00F94F25"/>
    <w:rsid w:val="00FA282F"/>
    <w:rsid w:val="00FB52E5"/>
    <w:rsid w:val="00FB7C8D"/>
    <w:rsid w:val="00FD06BE"/>
    <w:rsid w:val="00FD1373"/>
    <w:rsid w:val="00FD1B37"/>
    <w:rsid w:val="060A5F01"/>
    <w:rsid w:val="55DA0E38"/>
    <w:rsid w:val="5FDDA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customStyle="1" w:styleId="CommentTextChar">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customStyle="1" w:styleId="CommentSubjectChar">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A8"/>
    <w:rPr>
      <w:rFonts w:ascii="Segoe UI" w:hAnsi="Segoe UI" w:cs="Segoe UI"/>
      <w:sz w:val="18"/>
      <w:szCs w:val="18"/>
    </w:rPr>
  </w:style>
  <w:style w:type="character" w:customStyle="1" w:styleId="normaltextrun">
    <w:name w:val="normaltextrun"/>
    <w:basedOn w:val="DefaultParagraphFont"/>
    <w:rsid w:val="002C6B9F"/>
  </w:style>
  <w:style w:type="paragraph" w:styleId="BodyText">
    <w:name w:val="Body Text"/>
    <w:basedOn w:val="Normal"/>
    <w:link w:val="BodyTextChar"/>
    <w:rsid w:val="00684802"/>
    <w:pPr>
      <w:tabs>
        <w:tab w:val="left" w:pos="0"/>
        <w:tab w:val="right" w:pos="819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48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59881">
      <w:bodyDiv w:val="1"/>
      <w:marLeft w:val="0"/>
      <w:marRight w:val="0"/>
      <w:marTop w:val="0"/>
      <w:marBottom w:val="0"/>
      <w:divBdr>
        <w:top w:val="none" w:sz="0" w:space="0" w:color="auto"/>
        <w:left w:val="none" w:sz="0" w:space="0" w:color="auto"/>
        <w:bottom w:val="none" w:sz="0" w:space="0" w:color="auto"/>
        <w:right w:val="none" w:sz="0" w:space="0" w:color="auto"/>
      </w:divBdr>
    </w:div>
    <w:div w:id="682635772">
      <w:bodyDiv w:val="1"/>
      <w:marLeft w:val="0"/>
      <w:marRight w:val="0"/>
      <w:marTop w:val="0"/>
      <w:marBottom w:val="0"/>
      <w:divBdr>
        <w:top w:val="none" w:sz="0" w:space="0" w:color="auto"/>
        <w:left w:val="none" w:sz="0" w:space="0" w:color="auto"/>
        <w:bottom w:val="none" w:sz="0" w:space="0" w:color="auto"/>
        <w:right w:val="none" w:sz="0" w:space="0" w:color="auto"/>
      </w:divBdr>
      <w:divsChild>
        <w:div w:id="92021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ctuk.police.uk/advice-and-guidance/awareness/action-counters-terrorism-act-report-suspicious-activity"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www.equalityhumanrights.com/en/corporate-reporting/public-sector-equality-duty" TargetMode="External"/><Relationship Id="rId2" Type="http://schemas.openxmlformats.org/officeDocument/2006/relationships/customXml" Target="../customXml/item2.xml"/><Relationship Id="rId16" Type="http://schemas.openxmlformats.org/officeDocument/2006/relationships/hyperlink" Target="https://www.gsa.ac.uk/media/1876891/glasgow-school-of-art-2021-2025-equality-outcomes-publis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arts.ac.uk/students/stories/suspicious-activity-what-should-i-do" TargetMode="Externa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securityservices/challenging-stra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D6734A64274458984A71A04BB4884" ma:contentTypeVersion="4" ma:contentTypeDescription="Create a new document." ma:contentTypeScope="" ma:versionID="8123a8d6b520a6a717f64c5b2454fb48">
  <xsd:schema xmlns:xsd="http://www.w3.org/2001/XMLSchema" xmlns:xs="http://www.w3.org/2001/XMLSchema" xmlns:p="http://schemas.microsoft.com/office/2006/metadata/properties" xmlns:ns2="169647bf-6322-4059-b503-6139b4392ac0" targetNamespace="http://schemas.microsoft.com/office/2006/metadata/properties" ma:root="true" ma:fieldsID="c910a4a8fb8cc8e51c3d07de4fa907b5" ns2:_="">
    <xsd:import namespace="169647bf-6322-4059-b503-6139b4392a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47bf-6322-4059-b503-6139b4392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2.xml><?xml version="1.0" encoding="utf-8"?>
<ds:datastoreItem xmlns:ds="http://schemas.openxmlformats.org/officeDocument/2006/customXml" ds:itemID="{D6CDA684-E5D2-42DD-A9FC-677A981B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47bf-6322-4059-b503-6139b439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F586E-2125-48F7-A732-4792C0B43122}">
  <ds:schemaRefs>
    <ds:schemaRef ds:uri="http://schemas.microsoft.com/sharepoint/v3/contenttype/forms"/>
  </ds:schemaRefs>
</ds:datastoreItem>
</file>

<file path=customXml/itemProps4.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1796</Words>
  <Characters>10240</Characters>
  <Application>Microsoft Office Word</Application>
  <DocSecurity>0</DocSecurity>
  <Lines>85</Lines>
  <Paragraphs>24</Paragraphs>
  <ScaleCrop>false</ScaleCrop>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3</cp:revision>
  <dcterms:created xsi:type="dcterms:W3CDTF">2026-05-07T08:16:00Z</dcterms:created>
  <dcterms:modified xsi:type="dcterms:W3CDTF">2026-05-07T08:16:00Z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0x0101003FDD6734A64274458984A71A04BB4884</vt:lpwstr>
  </property>
  <property fmtid="{D5CDD505-2E9C-101B-9397-08002B2CF9AE}" pid="3" name="MediaServiceImageTags">
    <vt:lpwstr/>
  </property>
  <property fmtid="{D5CDD505-2E9C-101B-9397-08002B2CF9AE}" pid="4" name="Order">
    <vt:r8>52700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