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1ED70" w14:textId="77777777" w:rsidR="00A7533F" w:rsidRPr="004A4FFD" w:rsidRDefault="00A7533F" w:rsidP="00A7533F">
      <w:pPr>
        <w:spacing w:after="0" w:line="276" w:lineRule="auto"/>
        <w:jc w:val="center"/>
        <w:rPr>
          <w:rFonts w:cstheme="minorHAnsi"/>
        </w:rPr>
      </w:pPr>
      <w:r w:rsidRPr="004A4FFD">
        <w:rPr>
          <w:rFonts w:cstheme="minorHAnsi"/>
          <w:b/>
          <w:noProof/>
          <w:sz w:val="28"/>
        </w:rPr>
        <w:drawing>
          <wp:inline distT="0" distB="0" distL="0" distR="0" wp14:anchorId="0485953D" wp14:editId="13BB01EE">
            <wp:extent cx="3638550" cy="1445260"/>
            <wp:effectExtent l="0" t="0" r="0" b="254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logo-GSA_730_290_80.jpg"/>
                    <pic:cNvPicPr/>
                  </pic:nvPicPr>
                  <pic:blipFill>
                    <a:blip r:embed="rId8">
                      <a:extLst>
                        <a:ext uri="{28A0092B-C50C-407E-A947-70E740481C1C}">
                          <a14:useLocalDpi xmlns:a14="http://schemas.microsoft.com/office/drawing/2010/main" val="0"/>
                        </a:ext>
                      </a:extLst>
                    </a:blip>
                    <a:stretch>
                      <a:fillRect/>
                    </a:stretch>
                  </pic:blipFill>
                  <pic:spPr>
                    <a:xfrm>
                      <a:off x="0" y="0"/>
                      <a:ext cx="3638550" cy="1445260"/>
                    </a:xfrm>
                    <a:prstGeom prst="rect">
                      <a:avLst/>
                    </a:prstGeom>
                  </pic:spPr>
                </pic:pic>
              </a:graphicData>
            </a:graphic>
          </wp:inline>
        </w:drawing>
      </w:r>
    </w:p>
    <w:p w14:paraId="28AEA8B9" w14:textId="77777777" w:rsidR="00A7533F" w:rsidRPr="004A4FFD" w:rsidRDefault="00A7533F" w:rsidP="00A7533F">
      <w:pPr>
        <w:spacing w:after="0" w:line="276" w:lineRule="auto"/>
        <w:jc w:val="center"/>
        <w:rPr>
          <w:rFonts w:cstheme="minorHAnsi"/>
        </w:rPr>
      </w:pPr>
      <w:r w:rsidRPr="004A4FFD">
        <w:rPr>
          <w:rFonts w:cstheme="minorHAnsi"/>
          <w:b/>
          <w:sz w:val="44"/>
        </w:rPr>
        <w:t>Equality Impact Assessment Form (</w:t>
      </w:r>
      <w:proofErr w:type="spellStart"/>
      <w:r w:rsidRPr="004A4FFD">
        <w:rPr>
          <w:rFonts w:cstheme="minorHAnsi"/>
          <w:b/>
          <w:sz w:val="44"/>
        </w:rPr>
        <w:t>EqIA</w:t>
      </w:r>
      <w:proofErr w:type="spellEnd"/>
      <w:r w:rsidRPr="004A4FFD">
        <w:rPr>
          <w:rFonts w:cstheme="minorHAnsi"/>
          <w:b/>
          <w:sz w:val="44"/>
        </w:rPr>
        <w:t>)</w:t>
      </w:r>
    </w:p>
    <w:p w14:paraId="4F8B7C2D" w14:textId="77777777" w:rsidR="00A7533F" w:rsidRPr="004A4FFD" w:rsidRDefault="00A7533F" w:rsidP="00A7533F">
      <w:pPr>
        <w:spacing w:after="0" w:line="276" w:lineRule="auto"/>
        <w:rPr>
          <w:rFonts w:cstheme="minorHAnsi"/>
          <w:b/>
          <w:sz w:val="28"/>
        </w:rPr>
      </w:pPr>
      <w:r w:rsidRPr="004A4FFD">
        <w:rPr>
          <w:rFonts w:cstheme="minorHAnsi"/>
          <w:b/>
          <w:sz w:val="28"/>
        </w:rPr>
        <w:br/>
        <w:t>As a public sector organisation, GSA has a legal duty under the Equality Act 2010 to assess the impact all of its new or revised policies, practices, procedures or projects may have on protected groups (as defined by the Act).</w:t>
      </w:r>
    </w:p>
    <w:p w14:paraId="3527A251" w14:textId="77777777" w:rsidR="00A7533F" w:rsidRPr="004A4FFD" w:rsidRDefault="00A7533F" w:rsidP="00A7533F">
      <w:pPr>
        <w:spacing w:after="0" w:line="276" w:lineRule="auto"/>
        <w:rPr>
          <w:rFonts w:cstheme="minorHAnsi"/>
          <w:b/>
          <w:sz w:val="28"/>
        </w:rPr>
      </w:pPr>
    </w:p>
    <w:p w14:paraId="4C8ABA58" w14:textId="77777777" w:rsidR="00A7533F" w:rsidRPr="004A4FFD" w:rsidRDefault="00A7533F" w:rsidP="00A7533F">
      <w:pPr>
        <w:spacing w:after="0" w:line="276" w:lineRule="auto"/>
        <w:rPr>
          <w:rFonts w:cstheme="minorHAnsi"/>
          <w:sz w:val="28"/>
        </w:rPr>
      </w:pPr>
      <w:r w:rsidRPr="004A4FFD">
        <w:rPr>
          <w:rFonts w:cstheme="minorHAnsi"/>
          <w:sz w:val="28"/>
        </w:rPr>
        <w:t xml:space="preserve">The purpose of this assessment is to use relevant evidence and critical thinking to identify any impact (positive, negative or neutral) the policy, practice, procedure or project that is being assessed may have on the people it affects or is intended for. </w:t>
      </w:r>
    </w:p>
    <w:p w14:paraId="011B8F4D" w14:textId="77777777" w:rsidR="00A7533F" w:rsidRPr="004A4FFD" w:rsidRDefault="00A7533F" w:rsidP="00A7533F">
      <w:pPr>
        <w:spacing w:after="0" w:line="276" w:lineRule="auto"/>
        <w:rPr>
          <w:rFonts w:cstheme="minorHAnsi"/>
          <w:sz w:val="28"/>
        </w:rPr>
      </w:pPr>
    </w:p>
    <w:p w14:paraId="19551B79" w14:textId="77777777" w:rsidR="00A7533F" w:rsidRPr="004A4FFD" w:rsidRDefault="00A7533F" w:rsidP="00A7533F">
      <w:pPr>
        <w:spacing w:after="0" w:line="276" w:lineRule="auto"/>
        <w:rPr>
          <w:rFonts w:cstheme="minorHAnsi"/>
          <w:sz w:val="28"/>
        </w:rPr>
      </w:pPr>
      <w:r w:rsidRPr="004A4FFD">
        <w:rPr>
          <w:rFonts w:cstheme="minorHAnsi"/>
          <w:sz w:val="28"/>
        </w:rPr>
        <w:t xml:space="preserve">The </w:t>
      </w:r>
      <w:proofErr w:type="spellStart"/>
      <w:r w:rsidRPr="004A4FFD">
        <w:rPr>
          <w:rFonts w:cstheme="minorHAnsi"/>
          <w:sz w:val="28"/>
        </w:rPr>
        <w:t>EqIA</w:t>
      </w:r>
      <w:proofErr w:type="spellEnd"/>
      <w:r w:rsidRPr="004A4FFD">
        <w:rPr>
          <w:rFonts w:cstheme="minorHAnsi"/>
          <w:sz w:val="28"/>
        </w:rPr>
        <w:t xml:space="preserve"> is a tool which helps mainstream equality into everything GSA does. It requires us to consider how we can mitigate or eliminate negative impact and, in turn, advance positive outcomes. Therefore, it must be undertaken during the development / review of the policy, practice, procedure or project it refers to and not after it has been finalised. Ideally, </w:t>
      </w:r>
      <w:proofErr w:type="spellStart"/>
      <w:r w:rsidRPr="004A4FFD">
        <w:rPr>
          <w:rFonts w:cstheme="minorHAnsi"/>
          <w:sz w:val="28"/>
        </w:rPr>
        <w:t>EqIAs</w:t>
      </w:r>
      <w:proofErr w:type="spellEnd"/>
      <w:r w:rsidRPr="004A4FFD">
        <w:rPr>
          <w:rFonts w:cstheme="minorHAnsi"/>
          <w:sz w:val="28"/>
        </w:rPr>
        <w:t xml:space="preserve"> should be a team effort of relevant parties to ensure a variety of perspectives have been consulted. All finalised </w:t>
      </w:r>
      <w:proofErr w:type="spellStart"/>
      <w:r w:rsidRPr="004A4FFD">
        <w:rPr>
          <w:rFonts w:cstheme="minorHAnsi"/>
          <w:sz w:val="28"/>
        </w:rPr>
        <w:t>EqIAs</w:t>
      </w:r>
      <w:proofErr w:type="spellEnd"/>
      <w:r w:rsidRPr="004A4FFD">
        <w:rPr>
          <w:rFonts w:cstheme="minorHAnsi"/>
          <w:sz w:val="28"/>
        </w:rPr>
        <w:t xml:space="preserve"> must be signed off by an executive lead and either the Head of Student Support and Development or GSA’s Equality Officer, however, support from the Equality Officer is available at any stage of completion.</w:t>
      </w:r>
    </w:p>
    <w:p w14:paraId="710BA1A9" w14:textId="77777777" w:rsidR="00A7533F" w:rsidRPr="004A4FFD" w:rsidRDefault="00A7533F" w:rsidP="00A7533F">
      <w:pPr>
        <w:spacing w:after="0" w:line="276" w:lineRule="auto"/>
        <w:rPr>
          <w:rFonts w:cstheme="minorHAnsi"/>
          <w:sz w:val="28"/>
        </w:rPr>
      </w:pPr>
    </w:p>
    <w:p w14:paraId="6645B848" w14:textId="77777777" w:rsidR="00A7533F" w:rsidRPr="004A4FFD" w:rsidRDefault="00A7533F" w:rsidP="00A7533F">
      <w:pPr>
        <w:spacing w:after="0" w:line="276" w:lineRule="auto"/>
        <w:rPr>
          <w:rFonts w:cstheme="minorHAnsi"/>
          <w:b/>
          <w:sz w:val="28"/>
        </w:rPr>
      </w:pPr>
      <w:r w:rsidRPr="004A4FFD">
        <w:rPr>
          <w:rFonts w:cstheme="minorHAnsi"/>
          <w:b/>
          <w:sz w:val="28"/>
        </w:rPr>
        <w:lastRenderedPageBreak/>
        <w:t xml:space="preserve">Further guidance on how to complete an </w:t>
      </w:r>
      <w:proofErr w:type="spellStart"/>
      <w:r w:rsidRPr="004A4FFD">
        <w:rPr>
          <w:rFonts w:cstheme="minorHAnsi"/>
          <w:b/>
          <w:sz w:val="28"/>
        </w:rPr>
        <w:t>EqIA</w:t>
      </w:r>
      <w:proofErr w:type="spellEnd"/>
      <w:r w:rsidRPr="004A4FFD">
        <w:rPr>
          <w:rFonts w:cstheme="minorHAnsi"/>
          <w:b/>
          <w:sz w:val="28"/>
        </w:rPr>
        <w:t xml:space="preserve"> can be found on GSA’s website and the Equality and Diversity section on the staff intranet. If you have any additional questions, please contact</w:t>
      </w:r>
      <w:r w:rsidRPr="004A4FFD">
        <w:rPr>
          <w:rFonts w:cstheme="minorHAnsi"/>
          <w:sz w:val="28"/>
        </w:rPr>
        <w:t xml:space="preserve"> </w:t>
      </w:r>
      <w:hyperlink r:id="rId9" w:history="1">
        <w:r w:rsidRPr="004A4FFD">
          <w:rPr>
            <w:rStyle w:val="Hyperlink"/>
            <w:rFonts w:cstheme="minorHAnsi"/>
            <w:b/>
            <w:sz w:val="28"/>
          </w:rPr>
          <w:t>equality@gsa.ac.uk.</w:t>
        </w:r>
      </w:hyperlink>
    </w:p>
    <w:p w14:paraId="1BBB8956" w14:textId="77777777" w:rsidR="00A7533F" w:rsidRPr="004A4FFD" w:rsidRDefault="00A7533F">
      <w:pPr>
        <w:rPr>
          <w:rFonts w:cstheme="minorHAnsi"/>
        </w:rPr>
      </w:pPr>
    </w:p>
    <w:tbl>
      <w:tblPr>
        <w:tblStyle w:val="TableGrid"/>
        <w:tblW w:w="0" w:type="auto"/>
        <w:tblLook w:val="04A0" w:firstRow="1" w:lastRow="0" w:firstColumn="1" w:lastColumn="0" w:noHBand="0" w:noVBand="1"/>
      </w:tblPr>
      <w:tblGrid>
        <w:gridCol w:w="4339"/>
        <w:gridCol w:w="9609"/>
      </w:tblGrid>
      <w:tr w:rsidR="00A7533F" w:rsidRPr="004A4FFD" w14:paraId="4BF2A3AC" w14:textId="77777777" w:rsidTr="00743372">
        <w:tc>
          <w:tcPr>
            <w:tcW w:w="4673" w:type="dxa"/>
            <w:shd w:val="clear" w:color="auto" w:fill="F2F2F2" w:themeFill="background1" w:themeFillShade="F2"/>
          </w:tcPr>
          <w:p w14:paraId="0490604B" w14:textId="77777777" w:rsidR="00A7533F" w:rsidRPr="004A4FFD" w:rsidRDefault="00A7533F" w:rsidP="00743372">
            <w:pPr>
              <w:spacing w:line="276" w:lineRule="auto"/>
              <w:rPr>
                <w:rFonts w:cstheme="minorHAnsi"/>
                <w:b/>
                <w:sz w:val="28"/>
              </w:rPr>
            </w:pPr>
            <w:r w:rsidRPr="004A4FFD">
              <w:rPr>
                <w:rFonts w:cstheme="minorHAnsi"/>
                <w:b/>
                <w:sz w:val="28"/>
              </w:rPr>
              <w:t>Name of Equality Impact Assessment</w:t>
            </w:r>
            <w:r w:rsidRPr="004A4FFD">
              <w:rPr>
                <w:rFonts w:cstheme="minorHAnsi"/>
                <w:b/>
                <w:sz w:val="28"/>
              </w:rPr>
              <w:br/>
            </w:r>
            <w:r w:rsidRPr="004A4FFD">
              <w:rPr>
                <w:rFonts w:cstheme="minorHAnsi"/>
                <w:sz w:val="28"/>
              </w:rPr>
              <w:t>(</w:t>
            </w:r>
            <w:proofErr w:type="gramStart"/>
            <w:r w:rsidRPr="004A4FFD">
              <w:rPr>
                <w:rFonts w:cstheme="minorHAnsi"/>
                <w:sz w:val="28"/>
              </w:rPr>
              <w:t>E.g.</w:t>
            </w:r>
            <w:proofErr w:type="gramEnd"/>
            <w:r w:rsidRPr="004A4FFD">
              <w:rPr>
                <w:rFonts w:cstheme="minorHAnsi"/>
                <w:sz w:val="28"/>
              </w:rPr>
              <w:t xml:space="preserve"> </w:t>
            </w:r>
            <w:r w:rsidRPr="004A4FFD">
              <w:rPr>
                <w:rFonts w:cstheme="minorHAnsi"/>
                <w:sz w:val="28"/>
                <w:szCs w:val="28"/>
              </w:rPr>
              <w:t>Area of decision making/title of policy, procedure, programme or relevant practice)</w:t>
            </w:r>
          </w:p>
        </w:tc>
        <w:tc>
          <w:tcPr>
            <w:tcW w:w="10715" w:type="dxa"/>
          </w:tcPr>
          <w:p w14:paraId="31CACBA1" w14:textId="34597311" w:rsidR="00A7533F" w:rsidRPr="004A4FFD" w:rsidRDefault="00DF68A5" w:rsidP="00743372">
            <w:pPr>
              <w:spacing w:line="276" w:lineRule="auto"/>
              <w:rPr>
                <w:rFonts w:cstheme="minorHAnsi"/>
                <w:b/>
                <w:bCs/>
                <w:sz w:val="28"/>
                <w:szCs w:val="28"/>
              </w:rPr>
            </w:pPr>
            <w:r w:rsidRPr="004A4FFD">
              <w:rPr>
                <w:rFonts w:cstheme="minorHAnsi"/>
                <w:b/>
                <w:bCs/>
                <w:sz w:val="28"/>
                <w:szCs w:val="28"/>
              </w:rPr>
              <w:t>Safeguarding Policy &amp; Procedures (Adult &amp; Child Protection)</w:t>
            </w:r>
          </w:p>
        </w:tc>
      </w:tr>
      <w:tr w:rsidR="00A7533F" w:rsidRPr="004A4FFD" w14:paraId="69C9EFA4" w14:textId="77777777" w:rsidTr="00743372">
        <w:tc>
          <w:tcPr>
            <w:tcW w:w="4673" w:type="dxa"/>
            <w:shd w:val="clear" w:color="auto" w:fill="F2F2F2" w:themeFill="background1" w:themeFillShade="F2"/>
          </w:tcPr>
          <w:p w14:paraId="367DE290" w14:textId="77777777" w:rsidR="00A7533F" w:rsidRPr="004A4FFD" w:rsidRDefault="00A7533F" w:rsidP="00743372">
            <w:pPr>
              <w:spacing w:line="276" w:lineRule="auto"/>
              <w:rPr>
                <w:rFonts w:cstheme="minorHAnsi"/>
                <w:b/>
                <w:sz w:val="28"/>
              </w:rPr>
            </w:pPr>
            <w:r w:rsidRPr="004A4FFD">
              <w:rPr>
                <w:rFonts w:cstheme="minorHAnsi"/>
                <w:b/>
                <w:sz w:val="28"/>
              </w:rPr>
              <w:t>New or reviewed</w:t>
            </w:r>
          </w:p>
        </w:tc>
        <w:tc>
          <w:tcPr>
            <w:tcW w:w="10715" w:type="dxa"/>
          </w:tcPr>
          <w:p w14:paraId="1669896E" w14:textId="154C3758" w:rsidR="00A7533F" w:rsidRPr="004A4FFD" w:rsidRDefault="00AC3540" w:rsidP="00743372">
            <w:pPr>
              <w:spacing w:line="276" w:lineRule="auto"/>
              <w:rPr>
                <w:rFonts w:cstheme="minorHAnsi"/>
                <w:b/>
                <w:sz w:val="28"/>
                <w:szCs w:val="28"/>
              </w:rPr>
            </w:pPr>
            <w:r w:rsidRPr="004A4FFD">
              <w:rPr>
                <w:rFonts w:cstheme="minorHAnsi"/>
                <w:b/>
                <w:sz w:val="28"/>
                <w:szCs w:val="28"/>
              </w:rPr>
              <w:t>Reviewed</w:t>
            </w:r>
          </w:p>
        </w:tc>
      </w:tr>
      <w:tr w:rsidR="00A7533F" w:rsidRPr="004A4FFD" w14:paraId="5D582D99" w14:textId="77777777" w:rsidTr="00743372">
        <w:tc>
          <w:tcPr>
            <w:tcW w:w="4673" w:type="dxa"/>
            <w:shd w:val="clear" w:color="auto" w:fill="F2F2F2" w:themeFill="background1" w:themeFillShade="F2"/>
          </w:tcPr>
          <w:p w14:paraId="02FB46A4" w14:textId="77777777" w:rsidR="00A7533F" w:rsidRPr="004A4FFD" w:rsidRDefault="00A7533F" w:rsidP="00743372">
            <w:pPr>
              <w:spacing w:line="276" w:lineRule="auto"/>
              <w:rPr>
                <w:rFonts w:cstheme="minorHAnsi"/>
                <w:b/>
                <w:sz w:val="28"/>
              </w:rPr>
            </w:pPr>
            <w:r w:rsidRPr="004A4FFD">
              <w:rPr>
                <w:rFonts w:cstheme="minorHAnsi"/>
                <w:b/>
                <w:sz w:val="28"/>
              </w:rPr>
              <w:t>Owner/Review Lead and role</w:t>
            </w:r>
          </w:p>
        </w:tc>
        <w:tc>
          <w:tcPr>
            <w:tcW w:w="10715" w:type="dxa"/>
          </w:tcPr>
          <w:p w14:paraId="7CD1AFCE" w14:textId="56CA153D" w:rsidR="00A7533F" w:rsidRPr="004A4FFD" w:rsidRDefault="00AC3540" w:rsidP="00743372">
            <w:pPr>
              <w:spacing w:line="276" w:lineRule="auto"/>
              <w:rPr>
                <w:rFonts w:cstheme="minorHAnsi"/>
                <w:b/>
                <w:sz w:val="28"/>
                <w:szCs w:val="28"/>
              </w:rPr>
            </w:pPr>
            <w:r w:rsidRPr="004A4FFD">
              <w:rPr>
                <w:rFonts w:cstheme="minorHAnsi"/>
                <w:b/>
                <w:sz w:val="28"/>
                <w:szCs w:val="28"/>
              </w:rPr>
              <w:t>Louise Higgins – HR Manager Projects</w:t>
            </w:r>
          </w:p>
          <w:p w14:paraId="135274D1" w14:textId="77777777" w:rsidR="00A7533F" w:rsidRPr="004A4FFD" w:rsidRDefault="00A7533F" w:rsidP="00743372">
            <w:pPr>
              <w:spacing w:line="276" w:lineRule="auto"/>
              <w:rPr>
                <w:rFonts w:cstheme="minorHAnsi"/>
                <w:b/>
                <w:sz w:val="28"/>
                <w:szCs w:val="28"/>
              </w:rPr>
            </w:pPr>
          </w:p>
        </w:tc>
      </w:tr>
      <w:tr w:rsidR="00A7533F" w:rsidRPr="004A4FFD" w14:paraId="35D50DF8" w14:textId="77777777" w:rsidTr="00743372">
        <w:tc>
          <w:tcPr>
            <w:tcW w:w="4673" w:type="dxa"/>
            <w:shd w:val="clear" w:color="auto" w:fill="F2F2F2" w:themeFill="background1" w:themeFillShade="F2"/>
          </w:tcPr>
          <w:p w14:paraId="1ADA1EDA" w14:textId="77777777" w:rsidR="00A7533F" w:rsidRPr="004A4FFD" w:rsidRDefault="00A7533F" w:rsidP="00743372">
            <w:pPr>
              <w:spacing w:line="276" w:lineRule="auto"/>
              <w:rPr>
                <w:rFonts w:cstheme="minorHAnsi"/>
                <w:b/>
                <w:sz w:val="28"/>
              </w:rPr>
            </w:pPr>
            <w:r w:rsidRPr="004A4FFD">
              <w:rPr>
                <w:rFonts w:cstheme="minorHAnsi"/>
                <w:b/>
                <w:sz w:val="28"/>
              </w:rPr>
              <w:t>Department or School</w:t>
            </w:r>
          </w:p>
        </w:tc>
        <w:tc>
          <w:tcPr>
            <w:tcW w:w="10715" w:type="dxa"/>
          </w:tcPr>
          <w:p w14:paraId="3CDE439F" w14:textId="2F365044" w:rsidR="00A7533F" w:rsidRPr="004A4FFD" w:rsidRDefault="00DF68A5" w:rsidP="00743372">
            <w:pPr>
              <w:spacing w:line="276" w:lineRule="auto"/>
              <w:rPr>
                <w:rFonts w:cstheme="minorHAnsi"/>
                <w:b/>
                <w:bCs/>
                <w:sz w:val="28"/>
                <w:szCs w:val="28"/>
              </w:rPr>
            </w:pPr>
            <w:r w:rsidRPr="004A4FFD">
              <w:rPr>
                <w:rFonts w:cstheme="minorHAnsi"/>
                <w:b/>
                <w:bCs/>
                <w:sz w:val="28"/>
                <w:szCs w:val="28"/>
              </w:rPr>
              <w:t>HR (in collaboration with Student Support &amp; Academic Registry)</w:t>
            </w:r>
          </w:p>
        </w:tc>
      </w:tr>
      <w:tr w:rsidR="00A7533F" w:rsidRPr="004A4FFD" w14:paraId="6E1FCBF4" w14:textId="77777777" w:rsidTr="00743372">
        <w:tc>
          <w:tcPr>
            <w:tcW w:w="4673" w:type="dxa"/>
            <w:shd w:val="clear" w:color="auto" w:fill="F2F2F2" w:themeFill="background1" w:themeFillShade="F2"/>
          </w:tcPr>
          <w:p w14:paraId="4985A973" w14:textId="77777777" w:rsidR="00A7533F" w:rsidRPr="004A4FFD" w:rsidRDefault="00A7533F" w:rsidP="00743372">
            <w:pPr>
              <w:spacing w:line="276" w:lineRule="auto"/>
              <w:rPr>
                <w:rFonts w:cstheme="minorHAnsi"/>
                <w:b/>
                <w:sz w:val="28"/>
              </w:rPr>
            </w:pPr>
            <w:r w:rsidRPr="004A4FFD">
              <w:rPr>
                <w:rFonts w:cstheme="minorHAnsi"/>
                <w:b/>
                <w:sz w:val="28"/>
              </w:rPr>
              <w:t>Date of assessment</w:t>
            </w:r>
          </w:p>
        </w:tc>
        <w:tc>
          <w:tcPr>
            <w:tcW w:w="10715" w:type="dxa"/>
            <w:shd w:val="clear" w:color="auto" w:fill="FFFFFF" w:themeFill="background1"/>
          </w:tcPr>
          <w:p w14:paraId="27C2901F" w14:textId="79723E2F" w:rsidR="00A7533F" w:rsidRPr="004A4FFD" w:rsidRDefault="00AC3540" w:rsidP="00743372">
            <w:pPr>
              <w:spacing w:line="276" w:lineRule="auto"/>
              <w:rPr>
                <w:rFonts w:cstheme="minorHAnsi"/>
                <w:b/>
                <w:sz w:val="28"/>
                <w:szCs w:val="28"/>
              </w:rPr>
            </w:pPr>
            <w:r w:rsidRPr="004A4FFD">
              <w:rPr>
                <w:rFonts w:cstheme="minorHAnsi"/>
                <w:b/>
                <w:sz w:val="28"/>
                <w:szCs w:val="28"/>
              </w:rPr>
              <w:t xml:space="preserve">February 2026 (started in </w:t>
            </w:r>
            <w:r w:rsidR="00DF68A5" w:rsidRPr="004A4FFD">
              <w:rPr>
                <w:rFonts w:cstheme="minorHAnsi"/>
                <w:b/>
                <w:sz w:val="28"/>
                <w:szCs w:val="28"/>
              </w:rPr>
              <w:t>June</w:t>
            </w:r>
            <w:r w:rsidRPr="004A4FFD">
              <w:rPr>
                <w:rFonts w:cstheme="minorHAnsi"/>
                <w:b/>
                <w:sz w:val="28"/>
                <w:szCs w:val="28"/>
              </w:rPr>
              <w:t xml:space="preserve"> 2025)</w:t>
            </w:r>
          </w:p>
        </w:tc>
      </w:tr>
    </w:tbl>
    <w:p w14:paraId="54E02F8C" w14:textId="77777777" w:rsidR="00A7533F" w:rsidRPr="004A4FFD" w:rsidRDefault="00A7533F" w:rsidP="00A7533F">
      <w:pPr>
        <w:spacing w:after="0" w:line="276" w:lineRule="auto"/>
        <w:rPr>
          <w:rFonts w:cstheme="minorHAnsi"/>
        </w:rPr>
      </w:pPr>
    </w:p>
    <w:tbl>
      <w:tblPr>
        <w:tblStyle w:val="TableGrid"/>
        <w:tblW w:w="0" w:type="auto"/>
        <w:tblLook w:val="04A0" w:firstRow="1" w:lastRow="0" w:firstColumn="1" w:lastColumn="0" w:noHBand="0" w:noVBand="1"/>
      </w:tblPr>
      <w:tblGrid>
        <w:gridCol w:w="13948"/>
      </w:tblGrid>
      <w:tr w:rsidR="00A7533F" w:rsidRPr="004A4FFD" w14:paraId="36816E98" w14:textId="77777777" w:rsidTr="00743372">
        <w:tc>
          <w:tcPr>
            <w:tcW w:w="13948" w:type="dxa"/>
            <w:shd w:val="clear" w:color="auto" w:fill="F2F2F2" w:themeFill="background1" w:themeFillShade="F2"/>
          </w:tcPr>
          <w:p w14:paraId="378CFAE2" w14:textId="77777777" w:rsidR="00A7533F" w:rsidRPr="004A4FFD" w:rsidRDefault="00A7533F" w:rsidP="00A7533F">
            <w:pPr>
              <w:pStyle w:val="ListParagraph"/>
              <w:numPr>
                <w:ilvl w:val="0"/>
                <w:numId w:val="1"/>
              </w:numPr>
              <w:spacing w:line="276" w:lineRule="auto"/>
              <w:rPr>
                <w:rFonts w:cstheme="minorHAnsi"/>
                <w:b/>
                <w:sz w:val="28"/>
                <w:szCs w:val="28"/>
              </w:rPr>
            </w:pPr>
            <w:r w:rsidRPr="004A4FFD">
              <w:rPr>
                <w:rFonts w:cstheme="minorHAnsi"/>
                <w:b/>
                <w:sz w:val="28"/>
                <w:szCs w:val="28"/>
              </w:rPr>
              <w:t xml:space="preserve">Purpose of policy/practice/procedure/project being assessed </w:t>
            </w:r>
            <w:r w:rsidRPr="004A4FFD">
              <w:rPr>
                <w:rFonts w:cstheme="minorHAnsi"/>
                <w:sz w:val="28"/>
                <w:szCs w:val="28"/>
              </w:rPr>
              <w:t>– brief description</w:t>
            </w:r>
          </w:p>
        </w:tc>
      </w:tr>
      <w:tr w:rsidR="00A7533F" w:rsidRPr="004A4FFD" w14:paraId="29CACE02" w14:textId="77777777" w:rsidTr="00743372">
        <w:trPr>
          <w:trHeight w:val="2268"/>
        </w:trPr>
        <w:tc>
          <w:tcPr>
            <w:tcW w:w="13948" w:type="dxa"/>
          </w:tcPr>
          <w:p w14:paraId="2EACCAA5" w14:textId="442A4300" w:rsidR="00DF68A5" w:rsidRPr="004A4FFD" w:rsidRDefault="00DF68A5" w:rsidP="00DF68A5">
            <w:pPr>
              <w:pStyle w:val="NormalWeb"/>
              <w:rPr>
                <w:rFonts w:asciiTheme="minorHAnsi" w:hAnsiTheme="minorHAnsi" w:cstheme="minorHAnsi"/>
              </w:rPr>
            </w:pPr>
            <w:r w:rsidRPr="004A4FFD">
              <w:rPr>
                <w:rFonts w:asciiTheme="minorHAnsi" w:hAnsiTheme="minorHAnsi" w:cstheme="minorHAnsi"/>
              </w:rPr>
              <w:t>Th</w:t>
            </w:r>
            <w:r w:rsidR="00527FD4">
              <w:rPr>
                <w:rFonts w:asciiTheme="minorHAnsi" w:hAnsiTheme="minorHAnsi" w:cstheme="minorHAnsi"/>
              </w:rPr>
              <w:t>ese</w:t>
            </w:r>
            <w:r w:rsidRPr="004A4FFD">
              <w:rPr>
                <w:rFonts w:asciiTheme="minorHAnsi" w:hAnsiTheme="minorHAnsi" w:cstheme="minorHAnsi"/>
              </w:rPr>
              <w:t xml:space="preserve"> polic</w:t>
            </w:r>
            <w:r w:rsidR="00527FD4">
              <w:rPr>
                <w:rFonts w:asciiTheme="minorHAnsi" w:hAnsiTheme="minorHAnsi" w:cstheme="minorHAnsi"/>
              </w:rPr>
              <w:t>ies</w:t>
            </w:r>
            <w:r w:rsidRPr="004A4FFD">
              <w:rPr>
                <w:rFonts w:asciiTheme="minorHAnsi" w:hAnsiTheme="minorHAnsi" w:cstheme="minorHAnsi"/>
              </w:rPr>
              <w:t xml:space="preserve"> set out the Glasgow School of Art’s approach to safeguarding children and vulnerable adults. It establishes clear roles, responsibilities, reporting procedures, and governance arrangements to ensure compliance with relevant legislation and national guidance.</w:t>
            </w:r>
          </w:p>
          <w:p w14:paraId="35E6F1A9" w14:textId="77777777" w:rsidR="00DF68A5" w:rsidRPr="004A4FFD" w:rsidRDefault="00DF68A5" w:rsidP="00DF68A5">
            <w:pPr>
              <w:pStyle w:val="NormalWeb"/>
              <w:rPr>
                <w:rFonts w:asciiTheme="minorHAnsi" w:hAnsiTheme="minorHAnsi" w:cstheme="minorHAnsi"/>
              </w:rPr>
            </w:pPr>
            <w:r w:rsidRPr="004A4FFD">
              <w:rPr>
                <w:rFonts w:asciiTheme="minorHAnsi" w:hAnsiTheme="minorHAnsi" w:cstheme="minorHAnsi"/>
              </w:rPr>
              <w:t>The 2025 review clarifies the distinction between policy and procedure, strengthens role definitions, enhances separation between staff and student safeguarding pathways, incorporates online working considerations, includes visiting workers, and aligns with institutional values and behaviours.</w:t>
            </w:r>
          </w:p>
          <w:p w14:paraId="1E7C836E" w14:textId="1287D20D" w:rsidR="00A7533F" w:rsidRPr="004A4FFD" w:rsidRDefault="00DF68A5" w:rsidP="00DF68A5">
            <w:pPr>
              <w:pStyle w:val="NormalWeb"/>
              <w:rPr>
                <w:rFonts w:asciiTheme="minorHAnsi" w:hAnsiTheme="minorHAnsi" w:cstheme="minorHAnsi"/>
              </w:rPr>
            </w:pPr>
            <w:r w:rsidRPr="004A4FFD">
              <w:rPr>
                <w:rFonts w:asciiTheme="minorHAnsi" w:hAnsiTheme="minorHAnsi" w:cstheme="minorHAnsi"/>
              </w:rPr>
              <w:t>The purpose is to ensure that safeguarding concerns are identified, reported and managed appropriately, reducing risk of harm and ensuring equitable protection irrespective of protected characteristic.</w:t>
            </w:r>
          </w:p>
        </w:tc>
      </w:tr>
    </w:tbl>
    <w:p w14:paraId="644DDB4C" w14:textId="77777777" w:rsidR="00A7533F" w:rsidRPr="004A4FFD" w:rsidRDefault="00A7533F" w:rsidP="00A7533F">
      <w:pPr>
        <w:spacing w:after="0" w:line="276" w:lineRule="auto"/>
        <w:rPr>
          <w:rFonts w:cstheme="minorHAnsi"/>
        </w:rPr>
      </w:pPr>
    </w:p>
    <w:tbl>
      <w:tblPr>
        <w:tblStyle w:val="TableGrid"/>
        <w:tblW w:w="0" w:type="auto"/>
        <w:tblLook w:val="04A0" w:firstRow="1" w:lastRow="0" w:firstColumn="1" w:lastColumn="0" w:noHBand="0" w:noVBand="1"/>
      </w:tblPr>
      <w:tblGrid>
        <w:gridCol w:w="13948"/>
      </w:tblGrid>
      <w:tr w:rsidR="00A7533F" w:rsidRPr="004A4FFD" w14:paraId="2D964045" w14:textId="77777777" w:rsidTr="00743372">
        <w:tc>
          <w:tcPr>
            <w:tcW w:w="13948" w:type="dxa"/>
            <w:shd w:val="clear" w:color="auto" w:fill="F2F2F2" w:themeFill="background1" w:themeFillShade="F2"/>
          </w:tcPr>
          <w:p w14:paraId="19E2D1C5" w14:textId="77777777" w:rsidR="00A7533F" w:rsidRPr="004A4FFD" w:rsidRDefault="00A7533F" w:rsidP="00A7533F">
            <w:pPr>
              <w:pStyle w:val="ListParagraph"/>
              <w:numPr>
                <w:ilvl w:val="0"/>
                <w:numId w:val="1"/>
              </w:numPr>
              <w:spacing w:line="276" w:lineRule="auto"/>
              <w:rPr>
                <w:rFonts w:cstheme="minorHAnsi"/>
                <w:b/>
                <w:sz w:val="28"/>
                <w:szCs w:val="28"/>
              </w:rPr>
            </w:pPr>
            <w:r w:rsidRPr="004A4FFD">
              <w:rPr>
                <w:rFonts w:cstheme="minorHAnsi"/>
                <w:b/>
                <w:sz w:val="28"/>
                <w:szCs w:val="28"/>
              </w:rPr>
              <w:lastRenderedPageBreak/>
              <w:t xml:space="preserve">Evidence used when undertaking this assessment </w:t>
            </w:r>
            <w:r w:rsidRPr="004A4FFD">
              <w:rPr>
                <w:rFonts w:cstheme="minorHAnsi"/>
                <w:sz w:val="28"/>
                <w:szCs w:val="28"/>
              </w:rPr>
              <w:t>– this can compromise of internal and external reports, survey data, etc.</w:t>
            </w:r>
          </w:p>
        </w:tc>
      </w:tr>
      <w:tr w:rsidR="00A7533F" w:rsidRPr="004A4FFD" w14:paraId="5848503E" w14:textId="77777777" w:rsidTr="00743372">
        <w:trPr>
          <w:trHeight w:val="2268"/>
        </w:trPr>
        <w:tc>
          <w:tcPr>
            <w:tcW w:w="13948" w:type="dxa"/>
          </w:tcPr>
          <w:p w14:paraId="610779AC" w14:textId="7DABD84A" w:rsidR="00DF68A5" w:rsidRPr="003F5E1F" w:rsidRDefault="00DF68A5" w:rsidP="003F5E1F">
            <w:pPr>
              <w:pStyle w:val="ListParagraph"/>
              <w:numPr>
                <w:ilvl w:val="0"/>
                <w:numId w:val="7"/>
              </w:numPr>
              <w:spacing w:line="276" w:lineRule="auto"/>
              <w:rPr>
                <w:rFonts w:cstheme="minorHAnsi"/>
                <w:sz w:val="24"/>
                <w:szCs w:val="24"/>
              </w:rPr>
            </w:pPr>
            <w:r w:rsidRPr="003F5E1F">
              <w:rPr>
                <w:rFonts w:cstheme="minorHAnsi"/>
                <w:sz w:val="24"/>
                <w:szCs w:val="24"/>
              </w:rPr>
              <w:t>National safeguarding legislation and statutory guidance (child and adult protection)</w:t>
            </w:r>
          </w:p>
          <w:p w14:paraId="76D3B4F1" w14:textId="66F445CF" w:rsidR="00DF68A5" w:rsidRPr="003F5E1F" w:rsidRDefault="00DF68A5" w:rsidP="003F5E1F">
            <w:pPr>
              <w:pStyle w:val="ListParagraph"/>
              <w:numPr>
                <w:ilvl w:val="0"/>
                <w:numId w:val="7"/>
              </w:numPr>
              <w:spacing w:line="276" w:lineRule="auto"/>
              <w:rPr>
                <w:rFonts w:cstheme="minorHAnsi"/>
                <w:sz w:val="24"/>
                <w:szCs w:val="24"/>
              </w:rPr>
            </w:pPr>
            <w:r w:rsidRPr="003F5E1F">
              <w:rPr>
                <w:rFonts w:cstheme="minorHAnsi"/>
                <w:sz w:val="24"/>
                <w:szCs w:val="24"/>
              </w:rPr>
              <w:t>UN Convention on the Rights of the Child</w:t>
            </w:r>
          </w:p>
          <w:p w14:paraId="32D16C40" w14:textId="5B218052" w:rsidR="00DF68A5" w:rsidRPr="003F5E1F" w:rsidRDefault="00DF68A5" w:rsidP="003F5E1F">
            <w:pPr>
              <w:pStyle w:val="ListParagraph"/>
              <w:numPr>
                <w:ilvl w:val="0"/>
                <w:numId w:val="7"/>
              </w:numPr>
              <w:spacing w:line="276" w:lineRule="auto"/>
              <w:rPr>
                <w:rFonts w:cstheme="minorHAnsi"/>
                <w:sz w:val="24"/>
                <w:szCs w:val="24"/>
              </w:rPr>
            </w:pPr>
            <w:r w:rsidRPr="003F5E1F">
              <w:rPr>
                <w:rFonts w:cstheme="minorHAnsi"/>
                <w:sz w:val="24"/>
                <w:szCs w:val="24"/>
              </w:rPr>
              <w:t>Public Sector Equality Duty (Equality Act 2010)</w:t>
            </w:r>
          </w:p>
          <w:p w14:paraId="27329FE7" w14:textId="25F92BF4" w:rsidR="00DF68A5" w:rsidRDefault="00DF68A5" w:rsidP="003F5E1F">
            <w:pPr>
              <w:pStyle w:val="ListParagraph"/>
              <w:numPr>
                <w:ilvl w:val="0"/>
                <w:numId w:val="7"/>
              </w:numPr>
              <w:spacing w:line="276" w:lineRule="auto"/>
              <w:rPr>
                <w:rFonts w:cstheme="minorHAnsi"/>
                <w:sz w:val="24"/>
                <w:szCs w:val="24"/>
              </w:rPr>
            </w:pPr>
            <w:r w:rsidRPr="003F5E1F">
              <w:rPr>
                <w:rFonts w:cstheme="minorHAnsi"/>
                <w:sz w:val="24"/>
                <w:szCs w:val="24"/>
              </w:rPr>
              <w:t>Institutional learning and case review reflections</w:t>
            </w:r>
          </w:p>
          <w:p w14:paraId="6318001D" w14:textId="2FB159FB" w:rsidR="008D6A6E" w:rsidRPr="008D6A6E" w:rsidRDefault="008D6A6E" w:rsidP="003F5E1F">
            <w:pPr>
              <w:pStyle w:val="ListParagraph"/>
              <w:numPr>
                <w:ilvl w:val="0"/>
                <w:numId w:val="7"/>
              </w:numPr>
              <w:spacing w:line="276" w:lineRule="auto"/>
              <w:rPr>
                <w:rFonts w:cstheme="minorHAnsi"/>
                <w:sz w:val="28"/>
                <w:szCs w:val="28"/>
              </w:rPr>
            </w:pPr>
            <w:r w:rsidRPr="008D6A6E">
              <w:rPr>
                <w:sz w:val="24"/>
                <w:szCs w:val="24"/>
              </w:rPr>
              <w:t>Review of sector safeguarding guidance (</w:t>
            </w:r>
            <w:proofErr w:type="gramStart"/>
            <w:r w:rsidRPr="008D6A6E">
              <w:rPr>
                <w:sz w:val="24"/>
                <w:szCs w:val="24"/>
              </w:rPr>
              <w:t>e.g.</w:t>
            </w:r>
            <w:proofErr w:type="gramEnd"/>
            <w:r w:rsidRPr="008D6A6E">
              <w:rPr>
                <w:sz w:val="24"/>
                <w:szCs w:val="24"/>
              </w:rPr>
              <w:t xml:space="preserve"> Universities Scotland / Advance HE where applicable).</w:t>
            </w:r>
          </w:p>
          <w:p w14:paraId="5C2D33CA" w14:textId="6688CA22" w:rsidR="00DF68A5" w:rsidRPr="003F5E1F" w:rsidRDefault="00DF68A5" w:rsidP="003F5E1F">
            <w:pPr>
              <w:pStyle w:val="ListParagraph"/>
              <w:numPr>
                <w:ilvl w:val="0"/>
                <w:numId w:val="7"/>
              </w:numPr>
              <w:spacing w:line="276" w:lineRule="auto"/>
              <w:rPr>
                <w:rFonts w:cstheme="minorHAnsi"/>
                <w:sz w:val="24"/>
                <w:szCs w:val="24"/>
              </w:rPr>
            </w:pPr>
            <w:r w:rsidRPr="003F5E1F">
              <w:rPr>
                <w:rFonts w:cstheme="minorHAnsi"/>
                <w:sz w:val="24"/>
                <w:szCs w:val="24"/>
              </w:rPr>
              <w:t>Consultation with:</w:t>
            </w:r>
          </w:p>
          <w:p w14:paraId="4D28A22D" w14:textId="77777777" w:rsidR="00DF68A5" w:rsidRPr="00DF68A5" w:rsidRDefault="00DF68A5" w:rsidP="003F5E1F">
            <w:pPr>
              <w:numPr>
                <w:ilvl w:val="1"/>
                <w:numId w:val="7"/>
              </w:numPr>
              <w:spacing w:line="276" w:lineRule="auto"/>
              <w:rPr>
                <w:rFonts w:cstheme="minorHAnsi"/>
                <w:sz w:val="24"/>
                <w:szCs w:val="24"/>
              </w:rPr>
            </w:pPr>
            <w:r w:rsidRPr="00DF68A5">
              <w:rPr>
                <w:rFonts w:cstheme="minorHAnsi"/>
                <w:sz w:val="24"/>
                <w:szCs w:val="24"/>
              </w:rPr>
              <w:t>Head of Student Support</w:t>
            </w:r>
          </w:p>
          <w:p w14:paraId="2AE2715D" w14:textId="77777777" w:rsidR="00DF68A5" w:rsidRPr="00DF68A5" w:rsidRDefault="00DF68A5" w:rsidP="003F5E1F">
            <w:pPr>
              <w:numPr>
                <w:ilvl w:val="1"/>
                <w:numId w:val="7"/>
              </w:numPr>
              <w:spacing w:line="276" w:lineRule="auto"/>
              <w:rPr>
                <w:rFonts w:cstheme="minorHAnsi"/>
                <w:sz w:val="24"/>
                <w:szCs w:val="24"/>
              </w:rPr>
            </w:pPr>
            <w:r w:rsidRPr="00DF68A5">
              <w:rPr>
                <w:rFonts w:cstheme="minorHAnsi"/>
                <w:sz w:val="24"/>
                <w:szCs w:val="24"/>
              </w:rPr>
              <w:t>Head of PCE</w:t>
            </w:r>
          </w:p>
          <w:p w14:paraId="4C23CE88" w14:textId="77777777" w:rsidR="00DF68A5" w:rsidRPr="00DF68A5" w:rsidRDefault="00DF68A5" w:rsidP="003F5E1F">
            <w:pPr>
              <w:numPr>
                <w:ilvl w:val="1"/>
                <w:numId w:val="7"/>
              </w:numPr>
              <w:spacing w:line="276" w:lineRule="auto"/>
              <w:rPr>
                <w:rFonts w:cstheme="minorHAnsi"/>
                <w:sz w:val="24"/>
                <w:szCs w:val="24"/>
              </w:rPr>
            </w:pPr>
            <w:r w:rsidRPr="00DF68A5">
              <w:rPr>
                <w:rFonts w:cstheme="minorHAnsi"/>
                <w:sz w:val="24"/>
                <w:szCs w:val="24"/>
              </w:rPr>
              <w:t>Deputy Director (Academic)</w:t>
            </w:r>
          </w:p>
          <w:p w14:paraId="14B717C4" w14:textId="77777777" w:rsidR="00DF68A5" w:rsidRPr="00DF68A5" w:rsidRDefault="00DF68A5" w:rsidP="003F5E1F">
            <w:pPr>
              <w:numPr>
                <w:ilvl w:val="1"/>
                <w:numId w:val="7"/>
              </w:numPr>
              <w:spacing w:line="276" w:lineRule="auto"/>
              <w:rPr>
                <w:rFonts w:cstheme="minorHAnsi"/>
                <w:sz w:val="24"/>
                <w:szCs w:val="24"/>
              </w:rPr>
            </w:pPr>
            <w:r w:rsidRPr="00DF68A5">
              <w:rPr>
                <w:rFonts w:cstheme="minorHAnsi"/>
                <w:sz w:val="24"/>
                <w:szCs w:val="24"/>
              </w:rPr>
              <w:t>Secretary &amp; Registrar</w:t>
            </w:r>
          </w:p>
          <w:p w14:paraId="4F17844E" w14:textId="77777777" w:rsidR="00DF68A5" w:rsidRPr="00DF68A5" w:rsidRDefault="00DF68A5" w:rsidP="003F5E1F">
            <w:pPr>
              <w:numPr>
                <w:ilvl w:val="1"/>
                <w:numId w:val="7"/>
              </w:numPr>
              <w:spacing w:line="276" w:lineRule="auto"/>
              <w:rPr>
                <w:rFonts w:cstheme="minorHAnsi"/>
                <w:sz w:val="24"/>
                <w:szCs w:val="24"/>
              </w:rPr>
            </w:pPr>
            <w:r w:rsidRPr="00DF68A5">
              <w:rPr>
                <w:rFonts w:cstheme="minorHAnsi"/>
                <w:sz w:val="24"/>
                <w:szCs w:val="24"/>
              </w:rPr>
              <w:t>Trade Union Forum (no additional comments)</w:t>
            </w:r>
          </w:p>
          <w:p w14:paraId="543B96D3" w14:textId="328AF725" w:rsidR="00DF68A5" w:rsidRPr="003F5E1F" w:rsidRDefault="00DF68A5" w:rsidP="003F5E1F">
            <w:pPr>
              <w:pStyle w:val="ListParagraph"/>
              <w:numPr>
                <w:ilvl w:val="0"/>
                <w:numId w:val="7"/>
              </w:numPr>
              <w:spacing w:line="276" w:lineRule="auto"/>
              <w:rPr>
                <w:rFonts w:cstheme="minorHAnsi"/>
                <w:sz w:val="24"/>
                <w:szCs w:val="24"/>
              </w:rPr>
            </w:pPr>
            <w:r w:rsidRPr="003F5E1F">
              <w:rPr>
                <w:rFonts w:cstheme="minorHAnsi"/>
                <w:sz w:val="24"/>
                <w:szCs w:val="24"/>
              </w:rPr>
              <w:t xml:space="preserve">Review of previous 2018 </w:t>
            </w:r>
            <w:proofErr w:type="spellStart"/>
            <w:r w:rsidRPr="003F5E1F">
              <w:rPr>
                <w:rFonts w:cstheme="minorHAnsi"/>
                <w:sz w:val="24"/>
                <w:szCs w:val="24"/>
              </w:rPr>
              <w:t>EqIA</w:t>
            </w:r>
            <w:proofErr w:type="spellEnd"/>
            <w:r w:rsidRPr="003F5E1F">
              <w:rPr>
                <w:rFonts w:cstheme="minorHAnsi"/>
                <w:sz w:val="24"/>
                <w:szCs w:val="24"/>
              </w:rPr>
              <w:t xml:space="preserve"> </w:t>
            </w:r>
          </w:p>
          <w:p w14:paraId="21C2ED3C" w14:textId="15806BAE" w:rsidR="00DF68A5" w:rsidRPr="003F5E1F" w:rsidRDefault="00DF68A5" w:rsidP="003F5E1F">
            <w:pPr>
              <w:pStyle w:val="ListParagraph"/>
              <w:numPr>
                <w:ilvl w:val="0"/>
                <w:numId w:val="7"/>
              </w:numPr>
              <w:spacing w:line="276" w:lineRule="auto"/>
              <w:rPr>
                <w:rFonts w:cstheme="minorHAnsi"/>
                <w:sz w:val="24"/>
                <w:szCs w:val="24"/>
              </w:rPr>
            </w:pPr>
            <w:r w:rsidRPr="003F5E1F">
              <w:rPr>
                <w:rFonts w:cstheme="minorHAnsi"/>
                <w:sz w:val="24"/>
                <w:szCs w:val="24"/>
              </w:rPr>
              <w:t>HR policies relating to recruitment, vetting, training and conduct</w:t>
            </w:r>
          </w:p>
          <w:p w14:paraId="782C5867" w14:textId="77777777" w:rsidR="00A7533F" w:rsidRPr="004A4FFD" w:rsidRDefault="00A7533F" w:rsidP="00743372">
            <w:pPr>
              <w:spacing w:line="276" w:lineRule="auto"/>
              <w:rPr>
                <w:rFonts w:cstheme="minorHAnsi"/>
              </w:rPr>
            </w:pPr>
          </w:p>
        </w:tc>
      </w:tr>
    </w:tbl>
    <w:p w14:paraId="693B38DB" w14:textId="77777777" w:rsidR="00A7533F" w:rsidRPr="004A4FFD" w:rsidRDefault="00A7533F" w:rsidP="00A7533F">
      <w:pPr>
        <w:spacing w:after="0" w:line="276" w:lineRule="auto"/>
        <w:rPr>
          <w:rFonts w:cstheme="minorHAnsi"/>
        </w:rPr>
      </w:pPr>
    </w:p>
    <w:tbl>
      <w:tblPr>
        <w:tblStyle w:val="TableGrid"/>
        <w:tblW w:w="0" w:type="auto"/>
        <w:tblLook w:val="04A0" w:firstRow="1" w:lastRow="0" w:firstColumn="1" w:lastColumn="0" w:noHBand="0" w:noVBand="1"/>
      </w:tblPr>
      <w:tblGrid>
        <w:gridCol w:w="13948"/>
      </w:tblGrid>
      <w:tr w:rsidR="00A7533F" w:rsidRPr="004A4FFD" w14:paraId="65DD2455" w14:textId="77777777" w:rsidTr="00743372">
        <w:tc>
          <w:tcPr>
            <w:tcW w:w="13948" w:type="dxa"/>
            <w:shd w:val="clear" w:color="auto" w:fill="F2F2F2" w:themeFill="background1" w:themeFillShade="F2"/>
          </w:tcPr>
          <w:p w14:paraId="20011DB3" w14:textId="77777777" w:rsidR="00A7533F" w:rsidRPr="004A4FFD" w:rsidRDefault="00A7533F" w:rsidP="00A7533F">
            <w:pPr>
              <w:pStyle w:val="ListParagraph"/>
              <w:numPr>
                <w:ilvl w:val="0"/>
                <w:numId w:val="1"/>
              </w:numPr>
              <w:spacing w:line="276" w:lineRule="auto"/>
              <w:rPr>
                <w:rFonts w:cstheme="minorHAnsi"/>
                <w:b/>
                <w:sz w:val="28"/>
              </w:rPr>
            </w:pPr>
            <w:r w:rsidRPr="004A4FFD">
              <w:rPr>
                <w:rFonts w:cstheme="minorHAnsi"/>
                <w:b/>
                <w:sz w:val="28"/>
              </w:rPr>
              <w:t>Type of protected characteristic or wider equality area</w:t>
            </w:r>
          </w:p>
        </w:tc>
      </w:tr>
    </w:tbl>
    <w:p w14:paraId="6FC7B594" w14:textId="77777777" w:rsidR="00A7533F" w:rsidRPr="004A4FFD" w:rsidRDefault="00A7533F">
      <w:pPr>
        <w:rPr>
          <w:rFonts w:cstheme="minorHAnsi"/>
        </w:rPr>
      </w:pPr>
    </w:p>
    <w:tbl>
      <w:tblPr>
        <w:tblStyle w:val="TableGrid"/>
        <w:tblW w:w="0" w:type="auto"/>
        <w:tblLook w:val="04A0" w:firstRow="1" w:lastRow="0" w:firstColumn="1" w:lastColumn="0" w:noHBand="0" w:noVBand="1"/>
      </w:tblPr>
      <w:tblGrid>
        <w:gridCol w:w="3487"/>
        <w:gridCol w:w="4588"/>
        <w:gridCol w:w="2386"/>
        <w:gridCol w:w="3487"/>
      </w:tblGrid>
      <w:tr w:rsidR="00A7533F" w:rsidRPr="004A4FFD" w14:paraId="40E216BA" w14:textId="77777777" w:rsidTr="00DF68A5">
        <w:trPr>
          <w:trHeight w:val="567"/>
        </w:trPr>
        <w:tc>
          <w:tcPr>
            <w:tcW w:w="3487" w:type="dxa"/>
            <w:shd w:val="clear" w:color="auto" w:fill="F2F2F2" w:themeFill="background1" w:themeFillShade="F2"/>
          </w:tcPr>
          <w:p w14:paraId="5B8DF3C3" w14:textId="77777777" w:rsidR="00A7533F" w:rsidRPr="004A4FFD" w:rsidRDefault="00A7533F" w:rsidP="00743372">
            <w:pPr>
              <w:spacing w:line="276" w:lineRule="auto"/>
              <w:rPr>
                <w:rFonts w:cstheme="minorHAnsi"/>
                <w:b/>
                <w:sz w:val="28"/>
              </w:rPr>
            </w:pPr>
            <w:r w:rsidRPr="004A4FFD">
              <w:rPr>
                <w:rFonts w:cstheme="minorHAnsi"/>
                <w:b/>
                <w:sz w:val="28"/>
              </w:rPr>
              <w:t>Protected characteristic</w:t>
            </w:r>
          </w:p>
        </w:tc>
        <w:tc>
          <w:tcPr>
            <w:tcW w:w="4588" w:type="dxa"/>
            <w:shd w:val="clear" w:color="auto" w:fill="F2F2F2" w:themeFill="background1" w:themeFillShade="F2"/>
          </w:tcPr>
          <w:p w14:paraId="6FCD6990" w14:textId="77777777" w:rsidR="00A7533F" w:rsidRPr="004A4FFD" w:rsidRDefault="00A7533F" w:rsidP="00743372">
            <w:pPr>
              <w:spacing w:line="276" w:lineRule="auto"/>
              <w:rPr>
                <w:rFonts w:cstheme="minorHAnsi"/>
                <w:b/>
                <w:sz w:val="28"/>
              </w:rPr>
            </w:pPr>
            <w:r w:rsidRPr="004A4FFD">
              <w:rPr>
                <w:rFonts w:cstheme="minorHAnsi"/>
                <w:b/>
                <w:sz w:val="28"/>
              </w:rPr>
              <w:t>Positive impact</w:t>
            </w:r>
          </w:p>
        </w:tc>
        <w:tc>
          <w:tcPr>
            <w:tcW w:w="2386" w:type="dxa"/>
            <w:shd w:val="clear" w:color="auto" w:fill="F2F2F2" w:themeFill="background1" w:themeFillShade="F2"/>
          </w:tcPr>
          <w:p w14:paraId="36579E77" w14:textId="77777777" w:rsidR="00A7533F" w:rsidRPr="004A4FFD" w:rsidRDefault="00A7533F" w:rsidP="00743372">
            <w:pPr>
              <w:spacing w:line="276" w:lineRule="auto"/>
              <w:rPr>
                <w:rFonts w:cstheme="minorHAnsi"/>
                <w:b/>
                <w:sz w:val="28"/>
              </w:rPr>
            </w:pPr>
            <w:r w:rsidRPr="004A4FFD">
              <w:rPr>
                <w:rFonts w:cstheme="minorHAnsi"/>
                <w:b/>
                <w:sz w:val="28"/>
              </w:rPr>
              <w:t>Negative impact</w:t>
            </w:r>
          </w:p>
        </w:tc>
        <w:tc>
          <w:tcPr>
            <w:tcW w:w="3487" w:type="dxa"/>
            <w:shd w:val="clear" w:color="auto" w:fill="F2F2F2" w:themeFill="background1" w:themeFillShade="F2"/>
          </w:tcPr>
          <w:p w14:paraId="5A671D76" w14:textId="77777777" w:rsidR="00A7533F" w:rsidRPr="004A4FFD" w:rsidRDefault="00A7533F" w:rsidP="00743372">
            <w:pPr>
              <w:spacing w:line="276" w:lineRule="auto"/>
              <w:rPr>
                <w:rFonts w:cstheme="minorHAnsi"/>
                <w:b/>
                <w:sz w:val="28"/>
              </w:rPr>
            </w:pPr>
            <w:r w:rsidRPr="004A4FFD">
              <w:rPr>
                <w:rFonts w:cstheme="minorHAnsi"/>
                <w:b/>
                <w:sz w:val="28"/>
              </w:rPr>
              <w:t>Neutral impact</w:t>
            </w:r>
          </w:p>
        </w:tc>
      </w:tr>
      <w:tr w:rsidR="00A7533F" w:rsidRPr="004A4FFD" w14:paraId="6470C84D" w14:textId="77777777" w:rsidTr="00DF68A5">
        <w:trPr>
          <w:trHeight w:val="1701"/>
        </w:trPr>
        <w:tc>
          <w:tcPr>
            <w:tcW w:w="3487" w:type="dxa"/>
            <w:shd w:val="clear" w:color="auto" w:fill="F2F2F2" w:themeFill="background1" w:themeFillShade="F2"/>
          </w:tcPr>
          <w:p w14:paraId="3C8EB5C3" w14:textId="77777777" w:rsidR="00A7533F" w:rsidRPr="004A4FFD" w:rsidRDefault="00A7533F" w:rsidP="00743372">
            <w:pPr>
              <w:spacing w:line="276" w:lineRule="auto"/>
              <w:rPr>
                <w:rFonts w:cstheme="minorHAnsi"/>
                <w:b/>
                <w:sz w:val="28"/>
              </w:rPr>
            </w:pPr>
            <w:r w:rsidRPr="004A4FFD">
              <w:rPr>
                <w:rFonts w:cstheme="minorHAnsi"/>
                <w:b/>
                <w:sz w:val="28"/>
              </w:rPr>
              <w:lastRenderedPageBreak/>
              <w:t>Age</w:t>
            </w:r>
          </w:p>
        </w:tc>
        <w:tc>
          <w:tcPr>
            <w:tcW w:w="4588" w:type="dxa"/>
          </w:tcPr>
          <w:p w14:paraId="49DFCBA9" w14:textId="69C741CC" w:rsidR="00A7533F" w:rsidRPr="004A4FFD" w:rsidRDefault="00DF68A5" w:rsidP="00743372">
            <w:pPr>
              <w:spacing w:line="276" w:lineRule="auto"/>
              <w:rPr>
                <w:rFonts w:cstheme="minorHAnsi"/>
                <w:sz w:val="24"/>
                <w:szCs w:val="24"/>
              </w:rPr>
            </w:pPr>
            <w:r w:rsidRPr="004A4FFD">
              <w:rPr>
                <w:rFonts w:cstheme="minorHAnsi"/>
                <w:sz w:val="24"/>
                <w:szCs w:val="24"/>
              </w:rPr>
              <w:t xml:space="preserve">Safeguarding arrangements explicitly protect children (under 18) and vulnerable adults. Clarification of terminology reduces ambiguity </w:t>
            </w:r>
            <w:proofErr w:type="gramStart"/>
            <w:r w:rsidRPr="004A4FFD">
              <w:rPr>
                <w:rFonts w:cstheme="minorHAnsi"/>
                <w:sz w:val="24"/>
                <w:szCs w:val="24"/>
              </w:rPr>
              <w:t>where</w:t>
            </w:r>
            <w:proofErr w:type="gramEnd"/>
            <w:r w:rsidRPr="004A4FFD">
              <w:rPr>
                <w:rFonts w:cstheme="minorHAnsi"/>
                <w:sz w:val="24"/>
                <w:szCs w:val="24"/>
              </w:rPr>
              <w:t xml:space="preserve"> age overlaps with adult protection.</w:t>
            </w:r>
          </w:p>
        </w:tc>
        <w:tc>
          <w:tcPr>
            <w:tcW w:w="2386" w:type="dxa"/>
          </w:tcPr>
          <w:p w14:paraId="2994F9B9" w14:textId="05F0AB17" w:rsidR="00A7533F" w:rsidRPr="004A4FFD" w:rsidRDefault="00DF68A5" w:rsidP="00743372">
            <w:pPr>
              <w:spacing w:line="276" w:lineRule="auto"/>
              <w:rPr>
                <w:rFonts w:cstheme="minorHAnsi"/>
                <w:sz w:val="24"/>
                <w:szCs w:val="24"/>
              </w:rPr>
            </w:pPr>
            <w:r w:rsidRPr="004A4FFD">
              <w:rPr>
                <w:rFonts w:cstheme="minorHAnsi"/>
                <w:sz w:val="24"/>
                <w:szCs w:val="24"/>
              </w:rPr>
              <w:t>None identified.</w:t>
            </w:r>
          </w:p>
        </w:tc>
        <w:tc>
          <w:tcPr>
            <w:tcW w:w="3487" w:type="dxa"/>
          </w:tcPr>
          <w:p w14:paraId="533CF430" w14:textId="4BEEDE4D" w:rsidR="00A7533F" w:rsidRPr="004A4FFD" w:rsidRDefault="00DF68A5" w:rsidP="00743372">
            <w:pPr>
              <w:spacing w:line="276" w:lineRule="auto"/>
              <w:rPr>
                <w:rFonts w:cstheme="minorHAnsi"/>
                <w:sz w:val="24"/>
                <w:szCs w:val="24"/>
              </w:rPr>
            </w:pPr>
            <w:r w:rsidRPr="004A4FFD">
              <w:rPr>
                <w:rFonts w:cstheme="minorHAnsi"/>
                <w:sz w:val="24"/>
                <w:szCs w:val="24"/>
              </w:rPr>
              <w:t>Not applicable beyond safeguarding remit.</w:t>
            </w:r>
          </w:p>
        </w:tc>
      </w:tr>
      <w:tr w:rsidR="00A7533F" w:rsidRPr="004A4FFD" w14:paraId="3919684E" w14:textId="77777777" w:rsidTr="00DF68A5">
        <w:trPr>
          <w:trHeight w:val="1701"/>
        </w:trPr>
        <w:tc>
          <w:tcPr>
            <w:tcW w:w="3487" w:type="dxa"/>
            <w:shd w:val="clear" w:color="auto" w:fill="F2F2F2" w:themeFill="background1" w:themeFillShade="F2"/>
          </w:tcPr>
          <w:p w14:paraId="55C11D45" w14:textId="77777777" w:rsidR="00A7533F" w:rsidRPr="004A4FFD" w:rsidRDefault="00A7533F" w:rsidP="00743372">
            <w:pPr>
              <w:spacing w:line="276" w:lineRule="auto"/>
              <w:rPr>
                <w:rFonts w:cstheme="minorHAnsi"/>
                <w:sz w:val="28"/>
              </w:rPr>
            </w:pPr>
            <w:r w:rsidRPr="004A4FFD">
              <w:rPr>
                <w:rFonts w:cstheme="minorHAnsi"/>
                <w:b/>
                <w:sz w:val="28"/>
              </w:rPr>
              <w:t xml:space="preserve">Disability </w:t>
            </w:r>
          </w:p>
        </w:tc>
        <w:tc>
          <w:tcPr>
            <w:tcW w:w="4588" w:type="dxa"/>
          </w:tcPr>
          <w:p w14:paraId="4CD3311F" w14:textId="18CD5882" w:rsidR="00EE0E9B" w:rsidRPr="00EE0E9B" w:rsidRDefault="00EE0E9B" w:rsidP="00EE0E9B">
            <w:pPr>
              <w:spacing w:line="276" w:lineRule="auto"/>
              <w:rPr>
                <w:rFonts w:cstheme="minorHAnsi"/>
                <w:sz w:val="24"/>
                <w:szCs w:val="24"/>
              </w:rPr>
            </w:pPr>
            <w:r w:rsidRPr="00EE0E9B">
              <w:rPr>
                <w:rFonts w:cstheme="minorHAnsi"/>
                <w:sz w:val="24"/>
                <w:szCs w:val="24"/>
              </w:rPr>
              <w:t>Concerns addressed equitably</w:t>
            </w:r>
          </w:p>
          <w:p w14:paraId="5D104282" w14:textId="2D1A5D6F" w:rsidR="00EE0E9B" w:rsidRPr="00EE0E9B" w:rsidRDefault="00EE0E9B" w:rsidP="00EE0E9B">
            <w:pPr>
              <w:spacing w:line="276" w:lineRule="auto"/>
              <w:rPr>
                <w:rFonts w:cstheme="minorHAnsi"/>
                <w:sz w:val="24"/>
                <w:szCs w:val="24"/>
              </w:rPr>
            </w:pPr>
            <w:r w:rsidRPr="00EE0E9B">
              <w:rPr>
                <w:rFonts w:cstheme="minorHAnsi"/>
                <w:sz w:val="24"/>
                <w:szCs w:val="24"/>
              </w:rPr>
              <w:t>Clear reporting routes</w:t>
            </w:r>
          </w:p>
          <w:p w14:paraId="53D463AC" w14:textId="67A67FC8" w:rsidR="00EE0E9B" w:rsidRPr="00EE0E9B" w:rsidRDefault="00EE0E9B" w:rsidP="00EE0E9B">
            <w:pPr>
              <w:spacing w:line="276" w:lineRule="auto"/>
              <w:rPr>
                <w:rFonts w:cstheme="minorHAnsi"/>
                <w:sz w:val="24"/>
                <w:szCs w:val="24"/>
              </w:rPr>
            </w:pPr>
            <w:r w:rsidRPr="00EE0E9B">
              <w:rPr>
                <w:rFonts w:cstheme="minorHAnsi"/>
                <w:sz w:val="24"/>
                <w:szCs w:val="24"/>
              </w:rPr>
              <w:t>Online working inclusion</w:t>
            </w:r>
          </w:p>
          <w:p w14:paraId="16008D49" w14:textId="0993B252" w:rsidR="00EE0E9B" w:rsidRPr="00EE0E9B" w:rsidRDefault="00EE0E9B" w:rsidP="00EE0E9B">
            <w:pPr>
              <w:spacing w:line="276" w:lineRule="auto"/>
              <w:rPr>
                <w:rFonts w:cstheme="minorHAnsi"/>
                <w:sz w:val="24"/>
                <w:szCs w:val="24"/>
              </w:rPr>
            </w:pPr>
            <w:r w:rsidRPr="00EE0E9B">
              <w:rPr>
                <w:rFonts w:cstheme="minorHAnsi"/>
                <w:sz w:val="24"/>
                <w:szCs w:val="24"/>
              </w:rPr>
              <w:t>Accessible publication and disability-aware training</w:t>
            </w:r>
          </w:p>
          <w:p w14:paraId="6C8CBE19" w14:textId="46F7D020" w:rsidR="00A7533F" w:rsidRPr="00EE0E9B" w:rsidRDefault="00A7533F" w:rsidP="00743372">
            <w:pPr>
              <w:spacing w:line="276" w:lineRule="auto"/>
              <w:rPr>
                <w:rFonts w:cstheme="minorHAnsi"/>
                <w:sz w:val="24"/>
                <w:szCs w:val="24"/>
              </w:rPr>
            </w:pPr>
          </w:p>
        </w:tc>
        <w:tc>
          <w:tcPr>
            <w:tcW w:w="2386" w:type="dxa"/>
          </w:tcPr>
          <w:p w14:paraId="1F269962" w14:textId="7E17BC23" w:rsidR="00A7533F" w:rsidRPr="00EE0E9B" w:rsidRDefault="00DF68A5" w:rsidP="00743372">
            <w:pPr>
              <w:spacing w:line="276" w:lineRule="auto"/>
              <w:rPr>
                <w:rFonts w:cstheme="minorHAnsi"/>
                <w:sz w:val="24"/>
                <w:szCs w:val="24"/>
              </w:rPr>
            </w:pPr>
            <w:r w:rsidRPr="00EE0E9B">
              <w:rPr>
                <w:rFonts w:cstheme="minorHAnsi"/>
                <w:sz w:val="24"/>
                <w:szCs w:val="24"/>
              </w:rPr>
              <w:t>Potential risk if communication is not accessible.</w:t>
            </w:r>
          </w:p>
          <w:p w14:paraId="2278EC1A" w14:textId="77777777" w:rsidR="00DF68A5" w:rsidRPr="00EE0E9B" w:rsidRDefault="00DF68A5" w:rsidP="00DF68A5">
            <w:pPr>
              <w:rPr>
                <w:rFonts w:cstheme="minorHAnsi"/>
                <w:sz w:val="24"/>
                <w:szCs w:val="24"/>
              </w:rPr>
            </w:pPr>
          </w:p>
          <w:p w14:paraId="6E65C3B5" w14:textId="26D708CA" w:rsidR="00DF68A5" w:rsidRPr="00EE0E9B" w:rsidRDefault="00DF68A5" w:rsidP="00DF68A5">
            <w:pPr>
              <w:jc w:val="center"/>
              <w:rPr>
                <w:rFonts w:cstheme="minorHAnsi"/>
                <w:sz w:val="24"/>
                <w:szCs w:val="24"/>
              </w:rPr>
            </w:pPr>
          </w:p>
        </w:tc>
        <w:tc>
          <w:tcPr>
            <w:tcW w:w="3487" w:type="dxa"/>
          </w:tcPr>
          <w:p w14:paraId="3568C85C" w14:textId="58839D63" w:rsidR="00EE0E9B" w:rsidRPr="008D6A6E" w:rsidRDefault="008D6A6E" w:rsidP="00EE0E9B">
            <w:pPr>
              <w:spacing w:before="100" w:beforeAutospacing="1" w:after="100" w:afterAutospacing="1"/>
              <w:rPr>
                <w:rFonts w:eastAsia="Times New Roman" w:cstheme="minorHAnsi"/>
                <w:sz w:val="28"/>
                <w:szCs w:val="28"/>
                <w:lang w:eastAsia="en-GB"/>
              </w:rPr>
            </w:pPr>
            <w:r w:rsidRPr="008D6A6E">
              <w:rPr>
                <w:sz w:val="24"/>
                <w:szCs w:val="24"/>
              </w:rPr>
              <w:t>No additional neutral impacts identified beyond mitigation measures</w:t>
            </w:r>
          </w:p>
          <w:p w14:paraId="5111F60E" w14:textId="022CB9C7" w:rsidR="00A7533F" w:rsidRPr="00EE0E9B" w:rsidRDefault="00A7533F" w:rsidP="00743372">
            <w:pPr>
              <w:spacing w:line="276" w:lineRule="auto"/>
              <w:rPr>
                <w:rFonts w:cstheme="minorHAnsi"/>
                <w:sz w:val="24"/>
                <w:szCs w:val="24"/>
              </w:rPr>
            </w:pPr>
          </w:p>
        </w:tc>
      </w:tr>
      <w:tr w:rsidR="00A7533F" w:rsidRPr="004A4FFD" w14:paraId="3BF1773A" w14:textId="77777777" w:rsidTr="00DF68A5">
        <w:trPr>
          <w:trHeight w:val="1701"/>
        </w:trPr>
        <w:tc>
          <w:tcPr>
            <w:tcW w:w="3487" w:type="dxa"/>
            <w:shd w:val="clear" w:color="auto" w:fill="F2F2F2" w:themeFill="background1" w:themeFillShade="F2"/>
          </w:tcPr>
          <w:p w14:paraId="1EC33D6C" w14:textId="77777777" w:rsidR="00A7533F" w:rsidRPr="004A4FFD" w:rsidRDefault="00A7533F" w:rsidP="00743372">
            <w:pPr>
              <w:spacing w:line="276" w:lineRule="auto"/>
              <w:rPr>
                <w:rFonts w:cstheme="minorHAnsi"/>
                <w:sz w:val="28"/>
              </w:rPr>
            </w:pPr>
            <w:r w:rsidRPr="004A4FFD">
              <w:rPr>
                <w:rFonts w:cstheme="minorHAnsi"/>
                <w:b/>
                <w:sz w:val="28"/>
              </w:rPr>
              <w:t xml:space="preserve">Gender reassignment </w:t>
            </w:r>
            <w:r w:rsidRPr="004A4FFD">
              <w:rPr>
                <w:rFonts w:cstheme="minorHAnsi"/>
                <w:sz w:val="28"/>
              </w:rPr>
              <w:t>(covers Trans identities)</w:t>
            </w:r>
          </w:p>
        </w:tc>
        <w:tc>
          <w:tcPr>
            <w:tcW w:w="4588" w:type="dxa"/>
          </w:tcPr>
          <w:p w14:paraId="43181DD8" w14:textId="1CFC7F0D" w:rsidR="00A7533F" w:rsidRPr="004A4FFD" w:rsidRDefault="00DF68A5" w:rsidP="00743372">
            <w:pPr>
              <w:spacing w:line="276" w:lineRule="auto"/>
              <w:rPr>
                <w:rFonts w:cstheme="minorHAnsi"/>
                <w:sz w:val="24"/>
                <w:szCs w:val="24"/>
              </w:rPr>
            </w:pPr>
            <w:r w:rsidRPr="004A4FFD">
              <w:rPr>
                <w:rFonts w:cstheme="minorHAnsi"/>
                <w:sz w:val="24"/>
                <w:szCs w:val="24"/>
              </w:rPr>
              <w:t>Safeguarding processes apply irrespective of gender identity. Clear behavioural standards and reporting pathways reduce risk of discrimination or victimisation.</w:t>
            </w:r>
          </w:p>
        </w:tc>
        <w:tc>
          <w:tcPr>
            <w:tcW w:w="2386" w:type="dxa"/>
          </w:tcPr>
          <w:p w14:paraId="0F3DB77F" w14:textId="0142B0E9" w:rsidR="00A7533F" w:rsidRPr="004A4FFD" w:rsidRDefault="00DF68A5" w:rsidP="00743372">
            <w:pPr>
              <w:spacing w:line="276" w:lineRule="auto"/>
              <w:rPr>
                <w:rFonts w:cstheme="minorHAnsi"/>
                <w:sz w:val="24"/>
                <w:szCs w:val="24"/>
              </w:rPr>
            </w:pPr>
            <w:r w:rsidRPr="004A4FFD">
              <w:rPr>
                <w:rFonts w:cstheme="minorHAnsi"/>
                <w:sz w:val="24"/>
                <w:szCs w:val="24"/>
              </w:rPr>
              <w:t>None identified.</w:t>
            </w:r>
          </w:p>
        </w:tc>
        <w:tc>
          <w:tcPr>
            <w:tcW w:w="3487" w:type="dxa"/>
          </w:tcPr>
          <w:p w14:paraId="4DB53650" w14:textId="77777777" w:rsidR="00A7533F" w:rsidRPr="004A4FFD" w:rsidRDefault="00A7533F" w:rsidP="00743372">
            <w:pPr>
              <w:spacing w:line="276" w:lineRule="auto"/>
              <w:rPr>
                <w:rFonts w:cstheme="minorHAnsi"/>
                <w:sz w:val="24"/>
                <w:szCs w:val="24"/>
              </w:rPr>
            </w:pPr>
          </w:p>
        </w:tc>
      </w:tr>
      <w:tr w:rsidR="00A7533F" w:rsidRPr="004A4FFD" w14:paraId="0E22ECF7" w14:textId="77777777" w:rsidTr="00DF68A5">
        <w:trPr>
          <w:trHeight w:val="1701"/>
        </w:trPr>
        <w:tc>
          <w:tcPr>
            <w:tcW w:w="3487" w:type="dxa"/>
            <w:shd w:val="clear" w:color="auto" w:fill="F2F2F2" w:themeFill="background1" w:themeFillShade="F2"/>
          </w:tcPr>
          <w:p w14:paraId="3977AF95" w14:textId="77777777" w:rsidR="00A7533F" w:rsidRPr="004A4FFD" w:rsidRDefault="00A7533F" w:rsidP="00743372">
            <w:pPr>
              <w:spacing w:line="276" w:lineRule="auto"/>
              <w:rPr>
                <w:rFonts w:cstheme="minorHAnsi"/>
                <w:b/>
                <w:sz w:val="28"/>
              </w:rPr>
            </w:pPr>
            <w:r w:rsidRPr="004A4FFD">
              <w:rPr>
                <w:rFonts w:cstheme="minorHAnsi"/>
                <w:b/>
                <w:sz w:val="28"/>
              </w:rPr>
              <w:t xml:space="preserve">Marriage and civil partnership </w:t>
            </w:r>
          </w:p>
        </w:tc>
        <w:tc>
          <w:tcPr>
            <w:tcW w:w="4588" w:type="dxa"/>
          </w:tcPr>
          <w:p w14:paraId="3F97B3DB" w14:textId="77777777" w:rsidR="00A7533F" w:rsidRPr="004A4FFD" w:rsidRDefault="00A7533F" w:rsidP="00743372">
            <w:pPr>
              <w:spacing w:line="276" w:lineRule="auto"/>
              <w:rPr>
                <w:rFonts w:cstheme="minorHAnsi"/>
                <w:sz w:val="24"/>
                <w:szCs w:val="24"/>
              </w:rPr>
            </w:pPr>
          </w:p>
        </w:tc>
        <w:tc>
          <w:tcPr>
            <w:tcW w:w="2386" w:type="dxa"/>
          </w:tcPr>
          <w:p w14:paraId="39DBB266" w14:textId="1C04B0B4" w:rsidR="00A7533F" w:rsidRPr="004A4FFD" w:rsidRDefault="00EE0E9B" w:rsidP="00743372">
            <w:pPr>
              <w:spacing w:line="276" w:lineRule="auto"/>
              <w:rPr>
                <w:rFonts w:cstheme="minorHAnsi"/>
                <w:sz w:val="24"/>
                <w:szCs w:val="24"/>
              </w:rPr>
            </w:pPr>
            <w:r>
              <w:rPr>
                <w:rFonts w:cstheme="minorHAnsi"/>
                <w:sz w:val="24"/>
                <w:szCs w:val="24"/>
              </w:rPr>
              <w:t>None identified</w:t>
            </w:r>
          </w:p>
        </w:tc>
        <w:tc>
          <w:tcPr>
            <w:tcW w:w="3487" w:type="dxa"/>
          </w:tcPr>
          <w:p w14:paraId="3C57C4BA" w14:textId="56F0A444" w:rsidR="00A7533F" w:rsidRPr="004A4FFD" w:rsidRDefault="008D6A6E" w:rsidP="00743372">
            <w:pPr>
              <w:spacing w:line="276" w:lineRule="auto"/>
              <w:rPr>
                <w:rFonts w:cstheme="minorHAnsi"/>
                <w:sz w:val="24"/>
                <w:szCs w:val="24"/>
              </w:rPr>
            </w:pPr>
            <w:r w:rsidRPr="008D6A6E">
              <w:rPr>
                <w:sz w:val="24"/>
                <w:szCs w:val="24"/>
              </w:rPr>
              <w:t>No differential impact identified.</w:t>
            </w:r>
          </w:p>
        </w:tc>
      </w:tr>
      <w:tr w:rsidR="00A7533F" w:rsidRPr="004A4FFD" w14:paraId="5C49B3D0" w14:textId="77777777" w:rsidTr="00DF68A5">
        <w:trPr>
          <w:trHeight w:val="1701"/>
        </w:trPr>
        <w:tc>
          <w:tcPr>
            <w:tcW w:w="3487" w:type="dxa"/>
            <w:shd w:val="clear" w:color="auto" w:fill="F2F2F2" w:themeFill="background1" w:themeFillShade="F2"/>
          </w:tcPr>
          <w:p w14:paraId="6CE96797" w14:textId="77777777" w:rsidR="00A7533F" w:rsidRPr="004A4FFD" w:rsidRDefault="00A7533F" w:rsidP="00743372">
            <w:pPr>
              <w:spacing w:line="276" w:lineRule="auto"/>
              <w:rPr>
                <w:rFonts w:cstheme="minorHAnsi"/>
                <w:b/>
                <w:sz w:val="28"/>
              </w:rPr>
            </w:pPr>
            <w:r w:rsidRPr="004A4FFD">
              <w:rPr>
                <w:rFonts w:cstheme="minorHAnsi"/>
                <w:b/>
                <w:sz w:val="28"/>
              </w:rPr>
              <w:t>Pregnancy and maternity</w:t>
            </w:r>
          </w:p>
        </w:tc>
        <w:tc>
          <w:tcPr>
            <w:tcW w:w="4588" w:type="dxa"/>
          </w:tcPr>
          <w:p w14:paraId="5137FDF8" w14:textId="0A87EAEE" w:rsidR="00A7533F" w:rsidRPr="004A4FFD" w:rsidRDefault="00DF68A5" w:rsidP="00743372">
            <w:pPr>
              <w:spacing w:line="276" w:lineRule="auto"/>
              <w:rPr>
                <w:rFonts w:cstheme="minorHAnsi"/>
                <w:sz w:val="24"/>
                <w:szCs w:val="24"/>
              </w:rPr>
            </w:pPr>
            <w:r w:rsidRPr="004A4FFD">
              <w:rPr>
                <w:rFonts w:cstheme="minorHAnsi"/>
                <w:sz w:val="24"/>
                <w:szCs w:val="24"/>
              </w:rPr>
              <w:t>Safeguarding procedures protect pregnant students, staff, and young parents where vulnerability may arise.</w:t>
            </w:r>
          </w:p>
        </w:tc>
        <w:tc>
          <w:tcPr>
            <w:tcW w:w="2386" w:type="dxa"/>
          </w:tcPr>
          <w:p w14:paraId="6C170582" w14:textId="1121537A" w:rsidR="00A7533F" w:rsidRPr="004A4FFD" w:rsidRDefault="00EE0E9B" w:rsidP="00743372">
            <w:pPr>
              <w:spacing w:line="276" w:lineRule="auto"/>
              <w:rPr>
                <w:rFonts w:cstheme="minorHAnsi"/>
                <w:sz w:val="24"/>
                <w:szCs w:val="24"/>
              </w:rPr>
            </w:pPr>
            <w:r w:rsidRPr="004A4FFD">
              <w:rPr>
                <w:rFonts w:cstheme="minorHAnsi"/>
                <w:sz w:val="24"/>
                <w:szCs w:val="24"/>
              </w:rPr>
              <w:t>None identified.</w:t>
            </w:r>
          </w:p>
        </w:tc>
        <w:tc>
          <w:tcPr>
            <w:tcW w:w="3487" w:type="dxa"/>
          </w:tcPr>
          <w:p w14:paraId="4A3B3414" w14:textId="37BAB793" w:rsidR="00A7533F" w:rsidRPr="004A4FFD" w:rsidRDefault="00A7533F" w:rsidP="00743372">
            <w:pPr>
              <w:spacing w:line="276" w:lineRule="auto"/>
              <w:rPr>
                <w:rFonts w:cstheme="minorHAnsi"/>
                <w:sz w:val="24"/>
                <w:szCs w:val="24"/>
              </w:rPr>
            </w:pPr>
          </w:p>
        </w:tc>
      </w:tr>
      <w:tr w:rsidR="00A7533F" w:rsidRPr="004A4FFD" w14:paraId="4651729A" w14:textId="77777777" w:rsidTr="00DF68A5">
        <w:trPr>
          <w:trHeight w:val="1701"/>
        </w:trPr>
        <w:tc>
          <w:tcPr>
            <w:tcW w:w="3487" w:type="dxa"/>
            <w:shd w:val="clear" w:color="auto" w:fill="F2F2F2" w:themeFill="background1" w:themeFillShade="F2"/>
          </w:tcPr>
          <w:p w14:paraId="12841685" w14:textId="77777777" w:rsidR="00A7533F" w:rsidRPr="004A4FFD" w:rsidRDefault="00A7533F" w:rsidP="00743372">
            <w:pPr>
              <w:spacing w:line="276" w:lineRule="auto"/>
              <w:rPr>
                <w:rFonts w:cstheme="minorHAnsi"/>
                <w:b/>
                <w:sz w:val="28"/>
              </w:rPr>
            </w:pPr>
            <w:r w:rsidRPr="004A4FFD">
              <w:rPr>
                <w:rFonts w:cstheme="minorHAnsi"/>
                <w:b/>
                <w:sz w:val="28"/>
              </w:rPr>
              <w:lastRenderedPageBreak/>
              <w:t>Race</w:t>
            </w:r>
          </w:p>
        </w:tc>
        <w:tc>
          <w:tcPr>
            <w:tcW w:w="4588" w:type="dxa"/>
          </w:tcPr>
          <w:p w14:paraId="751BD2FF" w14:textId="6841FA0E" w:rsidR="00A7533F" w:rsidRDefault="00DF68A5" w:rsidP="00743372">
            <w:pPr>
              <w:spacing w:line="276" w:lineRule="auto"/>
              <w:rPr>
                <w:rFonts w:cstheme="minorHAnsi"/>
                <w:sz w:val="24"/>
                <w:szCs w:val="24"/>
              </w:rPr>
            </w:pPr>
            <w:r w:rsidRPr="004A4FFD">
              <w:rPr>
                <w:rFonts w:cstheme="minorHAnsi"/>
                <w:sz w:val="24"/>
                <w:szCs w:val="24"/>
              </w:rPr>
              <w:t>Safeguarding training promotes cultural awareness and mitigates bias in reporting and decision-making.</w:t>
            </w:r>
          </w:p>
          <w:p w14:paraId="4622CAC5" w14:textId="3FC9BFAF" w:rsidR="00EE0E9B" w:rsidRPr="004A4FFD" w:rsidRDefault="00EE0E9B" w:rsidP="00743372">
            <w:pPr>
              <w:spacing w:line="276" w:lineRule="auto"/>
              <w:rPr>
                <w:rFonts w:cstheme="minorHAnsi"/>
                <w:sz w:val="24"/>
                <w:szCs w:val="24"/>
              </w:rPr>
            </w:pPr>
            <w:r w:rsidRPr="004A4FFD">
              <w:rPr>
                <w:rFonts w:cstheme="minorHAnsi"/>
                <w:sz w:val="24"/>
                <w:szCs w:val="24"/>
              </w:rPr>
              <w:t>Training incorporates equality awareness and reinforces objective decision-making aligned to statutory guidance.</w:t>
            </w:r>
          </w:p>
          <w:p w14:paraId="7060ABA1" w14:textId="724C5312" w:rsidR="00DF68A5" w:rsidRPr="004A4FFD" w:rsidRDefault="00DF68A5" w:rsidP="00DF68A5">
            <w:pPr>
              <w:jc w:val="center"/>
              <w:rPr>
                <w:rFonts w:cstheme="minorHAnsi"/>
                <w:sz w:val="24"/>
                <w:szCs w:val="24"/>
              </w:rPr>
            </w:pPr>
          </w:p>
        </w:tc>
        <w:tc>
          <w:tcPr>
            <w:tcW w:w="2386" w:type="dxa"/>
          </w:tcPr>
          <w:p w14:paraId="10211A8E" w14:textId="2A05086A" w:rsidR="00A7533F" w:rsidRPr="004A4FFD" w:rsidRDefault="00DF68A5" w:rsidP="00743372">
            <w:pPr>
              <w:spacing w:line="276" w:lineRule="auto"/>
              <w:rPr>
                <w:rFonts w:cstheme="minorHAnsi"/>
                <w:sz w:val="24"/>
                <w:szCs w:val="24"/>
              </w:rPr>
            </w:pPr>
            <w:r w:rsidRPr="004A4FFD">
              <w:rPr>
                <w:rFonts w:cstheme="minorHAnsi"/>
                <w:sz w:val="24"/>
                <w:szCs w:val="24"/>
              </w:rPr>
              <w:t>Risk of unconscious bias in interpretation of behaviours.</w:t>
            </w:r>
          </w:p>
          <w:p w14:paraId="47A52BFC" w14:textId="70FC0A39" w:rsidR="00DF68A5" w:rsidRPr="004A4FFD" w:rsidRDefault="00DF68A5" w:rsidP="00DF68A5">
            <w:pPr>
              <w:jc w:val="center"/>
              <w:rPr>
                <w:rFonts w:cstheme="minorHAnsi"/>
                <w:sz w:val="24"/>
                <w:szCs w:val="24"/>
              </w:rPr>
            </w:pPr>
          </w:p>
        </w:tc>
        <w:tc>
          <w:tcPr>
            <w:tcW w:w="3487" w:type="dxa"/>
          </w:tcPr>
          <w:p w14:paraId="26953CFD" w14:textId="52E2D5D7" w:rsidR="00A7533F" w:rsidRPr="004A4FFD" w:rsidRDefault="008D6A6E" w:rsidP="00743372">
            <w:pPr>
              <w:spacing w:line="276" w:lineRule="auto"/>
              <w:rPr>
                <w:rFonts w:cstheme="minorHAnsi"/>
                <w:sz w:val="24"/>
                <w:szCs w:val="24"/>
              </w:rPr>
            </w:pPr>
            <w:r w:rsidRPr="008D6A6E">
              <w:rPr>
                <w:sz w:val="24"/>
                <w:szCs w:val="24"/>
              </w:rPr>
              <w:t>No further neutral impacts identified</w:t>
            </w:r>
          </w:p>
        </w:tc>
      </w:tr>
      <w:tr w:rsidR="00A7533F" w:rsidRPr="004A4FFD" w14:paraId="4D8B5F26" w14:textId="77777777" w:rsidTr="00DF68A5">
        <w:trPr>
          <w:trHeight w:val="1701"/>
        </w:trPr>
        <w:tc>
          <w:tcPr>
            <w:tcW w:w="3487" w:type="dxa"/>
            <w:shd w:val="clear" w:color="auto" w:fill="F2F2F2" w:themeFill="background1" w:themeFillShade="F2"/>
          </w:tcPr>
          <w:p w14:paraId="3DA65CBB" w14:textId="77777777" w:rsidR="00A7533F" w:rsidRPr="004A4FFD" w:rsidRDefault="00A7533F" w:rsidP="00743372">
            <w:pPr>
              <w:spacing w:line="276" w:lineRule="auto"/>
              <w:rPr>
                <w:rFonts w:cstheme="minorHAnsi"/>
                <w:b/>
                <w:sz w:val="28"/>
              </w:rPr>
            </w:pPr>
            <w:r w:rsidRPr="004A4FFD">
              <w:rPr>
                <w:rFonts w:cstheme="minorHAnsi"/>
                <w:b/>
                <w:sz w:val="28"/>
              </w:rPr>
              <w:t>Religion and belief</w:t>
            </w:r>
          </w:p>
        </w:tc>
        <w:tc>
          <w:tcPr>
            <w:tcW w:w="4588" w:type="dxa"/>
          </w:tcPr>
          <w:p w14:paraId="32404328" w14:textId="74DFF0EC" w:rsidR="00A7533F" w:rsidRPr="004A4FFD" w:rsidRDefault="00DF68A5" w:rsidP="00743372">
            <w:pPr>
              <w:spacing w:line="276" w:lineRule="auto"/>
              <w:rPr>
                <w:rFonts w:cstheme="minorHAnsi"/>
                <w:sz w:val="24"/>
                <w:szCs w:val="24"/>
              </w:rPr>
            </w:pPr>
            <w:r w:rsidRPr="004A4FFD">
              <w:rPr>
                <w:rFonts w:cstheme="minorHAnsi"/>
                <w:sz w:val="24"/>
                <w:szCs w:val="24"/>
              </w:rPr>
              <w:t>Policy ensures safeguarding action is not influenced by religious or belief-based assumptions.</w:t>
            </w:r>
          </w:p>
        </w:tc>
        <w:tc>
          <w:tcPr>
            <w:tcW w:w="2386" w:type="dxa"/>
          </w:tcPr>
          <w:p w14:paraId="665D2B79" w14:textId="77777777" w:rsidR="00A7533F" w:rsidRPr="004A4FFD" w:rsidRDefault="00A7533F" w:rsidP="00743372">
            <w:pPr>
              <w:spacing w:line="276" w:lineRule="auto"/>
              <w:rPr>
                <w:rFonts w:cstheme="minorHAnsi"/>
                <w:sz w:val="24"/>
                <w:szCs w:val="24"/>
              </w:rPr>
            </w:pPr>
          </w:p>
        </w:tc>
        <w:tc>
          <w:tcPr>
            <w:tcW w:w="3487" w:type="dxa"/>
          </w:tcPr>
          <w:p w14:paraId="1F59A7E9" w14:textId="4C27E155" w:rsidR="00A7533F" w:rsidRPr="004A4FFD" w:rsidRDefault="00DF68A5" w:rsidP="00743372">
            <w:pPr>
              <w:spacing w:line="276" w:lineRule="auto"/>
              <w:rPr>
                <w:rFonts w:cstheme="minorHAnsi"/>
                <w:sz w:val="24"/>
                <w:szCs w:val="24"/>
              </w:rPr>
            </w:pPr>
            <w:r w:rsidRPr="004A4FFD">
              <w:rPr>
                <w:rFonts w:cstheme="minorHAnsi"/>
                <w:sz w:val="24"/>
                <w:szCs w:val="24"/>
              </w:rPr>
              <w:t>None identified.</w:t>
            </w:r>
          </w:p>
        </w:tc>
      </w:tr>
      <w:tr w:rsidR="00A7533F" w:rsidRPr="004A4FFD" w14:paraId="16CAAB17" w14:textId="77777777" w:rsidTr="00DF68A5">
        <w:trPr>
          <w:trHeight w:val="1701"/>
        </w:trPr>
        <w:tc>
          <w:tcPr>
            <w:tcW w:w="3487" w:type="dxa"/>
            <w:shd w:val="clear" w:color="auto" w:fill="F2F2F2" w:themeFill="background1" w:themeFillShade="F2"/>
          </w:tcPr>
          <w:p w14:paraId="76CE15E9" w14:textId="77777777" w:rsidR="00A7533F" w:rsidRPr="004A4FFD" w:rsidRDefault="00A7533F" w:rsidP="00743372">
            <w:pPr>
              <w:spacing w:line="276" w:lineRule="auto"/>
              <w:rPr>
                <w:rFonts w:cstheme="minorHAnsi"/>
                <w:b/>
                <w:sz w:val="28"/>
              </w:rPr>
            </w:pPr>
            <w:r w:rsidRPr="004A4FFD">
              <w:rPr>
                <w:rFonts w:cstheme="minorHAnsi"/>
                <w:b/>
                <w:sz w:val="28"/>
              </w:rPr>
              <w:t>Sex</w:t>
            </w:r>
          </w:p>
        </w:tc>
        <w:tc>
          <w:tcPr>
            <w:tcW w:w="4588" w:type="dxa"/>
          </w:tcPr>
          <w:p w14:paraId="5B2B7511" w14:textId="473A124A" w:rsidR="00A7533F" w:rsidRPr="004A4FFD" w:rsidRDefault="00DF68A5" w:rsidP="00743372">
            <w:pPr>
              <w:spacing w:line="276" w:lineRule="auto"/>
              <w:rPr>
                <w:rFonts w:cstheme="minorHAnsi"/>
                <w:sz w:val="24"/>
                <w:szCs w:val="24"/>
              </w:rPr>
            </w:pPr>
            <w:r w:rsidRPr="004A4FFD">
              <w:rPr>
                <w:rFonts w:cstheme="minorHAnsi"/>
                <w:sz w:val="24"/>
                <w:szCs w:val="24"/>
              </w:rPr>
              <w:t>Clear reporting pathways support individuals experiencing gender-based harm. Separation of staff and student processes enhances clarity and safety.</w:t>
            </w:r>
          </w:p>
        </w:tc>
        <w:tc>
          <w:tcPr>
            <w:tcW w:w="2386" w:type="dxa"/>
          </w:tcPr>
          <w:p w14:paraId="2D36FCE5" w14:textId="77777777" w:rsidR="00A7533F" w:rsidRPr="004A4FFD" w:rsidRDefault="00A7533F" w:rsidP="00743372">
            <w:pPr>
              <w:spacing w:line="276" w:lineRule="auto"/>
              <w:rPr>
                <w:rFonts w:cstheme="minorHAnsi"/>
                <w:sz w:val="24"/>
                <w:szCs w:val="24"/>
              </w:rPr>
            </w:pPr>
          </w:p>
        </w:tc>
        <w:tc>
          <w:tcPr>
            <w:tcW w:w="3487" w:type="dxa"/>
          </w:tcPr>
          <w:p w14:paraId="3190B05D" w14:textId="29BDBC7E" w:rsidR="00A7533F" w:rsidRPr="004A4FFD" w:rsidRDefault="00DF68A5" w:rsidP="00743372">
            <w:pPr>
              <w:spacing w:line="276" w:lineRule="auto"/>
              <w:rPr>
                <w:rFonts w:cstheme="minorHAnsi"/>
                <w:sz w:val="24"/>
                <w:szCs w:val="24"/>
              </w:rPr>
            </w:pPr>
            <w:r w:rsidRPr="004A4FFD">
              <w:rPr>
                <w:rFonts w:cstheme="minorHAnsi"/>
                <w:sz w:val="24"/>
                <w:szCs w:val="24"/>
              </w:rPr>
              <w:t>None identified.</w:t>
            </w:r>
          </w:p>
        </w:tc>
      </w:tr>
      <w:tr w:rsidR="00A7533F" w:rsidRPr="004A4FFD" w14:paraId="32E5E40B" w14:textId="77777777" w:rsidTr="00DF68A5">
        <w:trPr>
          <w:trHeight w:val="1701"/>
        </w:trPr>
        <w:tc>
          <w:tcPr>
            <w:tcW w:w="3487" w:type="dxa"/>
            <w:shd w:val="clear" w:color="auto" w:fill="F2F2F2" w:themeFill="background1" w:themeFillShade="F2"/>
          </w:tcPr>
          <w:p w14:paraId="781259E2" w14:textId="77777777" w:rsidR="00A7533F" w:rsidRPr="004A4FFD" w:rsidRDefault="00A7533F" w:rsidP="00743372">
            <w:pPr>
              <w:spacing w:line="276" w:lineRule="auto"/>
              <w:rPr>
                <w:rFonts w:cstheme="minorHAnsi"/>
                <w:b/>
                <w:sz w:val="28"/>
              </w:rPr>
            </w:pPr>
            <w:r w:rsidRPr="004A4FFD">
              <w:rPr>
                <w:rFonts w:cstheme="minorHAnsi"/>
                <w:b/>
                <w:sz w:val="28"/>
              </w:rPr>
              <w:t>Sexual orientation</w:t>
            </w:r>
          </w:p>
        </w:tc>
        <w:tc>
          <w:tcPr>
            <w:tcW w:w="4588" w:type="dxa"/>
          </w:tcPr>
          <w:p w14:paraId="730F2CB5" w14:textId="70DD419E" w:rsidR="00A7533F" w:rsidRPr="004A4FFD" w:rsidRDefault="00DF68A5" w:rsidP="00743372">
            <w:pPr>
              <w:spacing w:line="276" w:lineRule="auto"/>
              <w:rPr>
                <w:rFonts w:cstheme="minorHAnsi"/>
                <w:sz w:val="24"/>
                <w:szCs w:val="24"/>
              </w:rPr>
            </w:pPr>
            <w:r w:rsidRPr="004A4FFD">
              <w:rPr>
                <w:rFonts w:cstheme="minorHAnsi"/>
                <w:sz w:val="24"/>
                <w:szCs w:val="24"/>
              </w:rPr>
              <w:t>Policy reinforces protection against harm irrespective of sexual orientation. Training addresses risks of bullying, harassment or exploitation affecting LGBTQ+ individuals.</w:t>
            </w:r>
          </w:p>
        </w:tc>
        <w:tc>
          <w:tcPr>
            <w:tcW w:w="2386" w:type="dxa"/>
          </w:tcPr>
          <w:p w14:paraId="28331477" w14:textId="77777777" w:rsidR="00A7533F" w:rsidRPr="004A4FFD" w:rsidRDefault="00A7533F" w:rsidP="00743372">
            <w:pPr>
              <w:spacing w:line="276" w:lineRule="auto"/>
              <w:rPr>
                <w:rFonts w:cstheme="minorHAnsi"/>
                <w:sz w:val="24"/>
                <w:szCs w:val="24"/>
              </w:rPr>
            </w:pPr>
          </w:p>
        </w:tc>
        <w:tc>
          <w:tcPr>
            <w:tcW w:w="3487" w:type="dxa"/>
          </w:tcPr>
          <w:p w14:paraId="4AA4E4AF" w14:textId="13B86E36" w:rsidR="00A7533F" w:rsidRPr="004A4FFD" w:rsidRDefault="00DF68A5" w:rsidP="00743372">
            <w:pPr>
              <w:spacing w:line="276" w:lineRule="auto"/>
              <w:rPr>
                <w:rFonts w:cstheme="minorHAnsi"/>
                <w:sz w:val="24"/>
                <w:szCs w:val="24"/>
              </w:rPr>
            </w:pPr>
            <w:r w:rsidRPr="004A4FFD">
              <w:rPr>
                <w:rFonts w:cstheme="minorHAnsi"/>
                <w:sz w:val="24"/>
                <w:szCs w:val="24"/>
              </w:rPr>
              <w:t>None identified.</w:t>
            </w:r>
          </w:p>
        </w:tc>
      </w:tr>
      <w:tr w:rsidR="00A7533F" w:rsidRPr="004A4FFD" w14:paraId="4C374759" w14:textId="77777777" w:rsidTr="00DF68A5">
        <w:trPr>
          <w:trHeight w:val="1701"/>
        </w:trPr>
        <w:tc>
          <w:tcPr>
            <w:tcW w:w="3487" w:type="dxa"/>
            <w:shd w:val="clear" w:color="auto" w:fill="F2F2F2" w:themeFill="background1" w:themeFillShade="F2"/>
          </w:tcPr>
          <w:p w14:paraId="386A4500" w14:textId="77777777" w:rsidR="00A7533F" w:rsidRPr="004A4FFD" w:rsidRDefault="00A7533F" w:rsidP="00A7533F">
            <w:pPr>
              <w:rPr>
                <w:rFonts w:cstheme="minorHAnsi"/>
                <w:b/>
                <w:sz w:val="28"/>
              </w:rPr>
            </w:pPr>
            <w:r w:rsidRPr="004A4FFD">
              <w:rPr>
                <w:rFonts w:cstheme="minorHAnsi"/>
                <w:b/>
                <w:sz w:val="28"/>
              </w:rPr>
              <w:lastRenderedPageBreak/>
              <w:t xml:space="preserve">Impact on other groups </w:t>
            </w:r>
            <w:r w:rsidRPr="004A4FFD">
              <w:rPr>
                <w:rFonts w:cstheme="minorHAnsi"/>
                <w:sz w:val="28"/>
              </w:rPr>
              <w:t>(</w:t>
            </w:r>
            <w:proofErr w:type="gramStart"/>
            <w:r w:rsidRPr="004A4FFD">
              <w:rPr>
                <w:rFonts w:cstheme="minorHAnsi"/>
                <w:sz w:val="28"/>
              </w:rPr>
              <w:t>e.g.</w:t>
            </w:r>
            <w:proofErr w:type="gramEnd"/>
            <w:r w:rsidRPr="004A4FFD">
              <w:rPr>
                <w:rFonts w:cstheme="minorHAnsi"/>
                <w:sz w:val="28"/>
              </w:rPr>
              <w:t xml:space="preserve"> Care Experienced; Carers; Military Veterans; Low Socioeconomic Status (SES); Asylum Seekers; British Sign Language Users, etc)</w:t>
            </w:r>
          </w:p>
        </w:tc>
        <w:tc>
          <w:tcPr>
            <w:tcW w:w="4588" w:type="dxa"/>
          </w:tcPr>
          <w:p w14:paraId="56E75346" w14:textId="77777777" w:rsidR="00DF68A5" w:rsidRPr="00EE0E9B" w:rsidRDefault="00DF68A5" w:rsidP="00DF68A5">
            <w:pPr>
              <w:spacing w:line="276" w:lineRule="auto"/>
              <w:rPr>
                <w:rFonts w:cstheme="minorHAnsi"/>
                <w:sz w:val="24"/>
                <w:szCs w:val="24"/>
              </w:rPr>
            </w:pPr>
            <w:r w:rsidRPr="00EE0E9B">
              <w:rPr>
                <w:rFonts w:cstheme="minorHAnsi"/>
                <w:b/>
                <w:bCs/>
                <w:sz w:val="24"/>
                <w:szCs w:val="24"/>
              </w:rPr>
              <w:t>Care Experienced Individuals / Young Carers / Low SES:</w:t>
            </w:r>
            <w:r w:rsidRPr="00EE0E9B">
              <w:rPr>
                <w:rFonts w:cstheme="minorHAnsi"/>
                <w:sz w:val="24"/>
                <w:szCs w:val="24"/>
              </w:rPr>
              <w:br/>
              <w:t>Positive impact through structured safeguarding response and clearer identification of vulnerability.</w:t>
            </w:r>
          </w:p>
          <w:p w14:paraId="03728CE2" w14:textId="77777777" w:rsidR="00DF68A5" w:rsidRPr="00EE0E9B" w:rsidRDefault="00DF68A5" w:rsidP="00DF68A5">
            <w:pPr>
              <w:spacing w:line="276" w:lineRule="auto"/>
              <w:rPr>
                <w:rFonts w:cstheme="minorHAnsi"/>
                <w:sz w:val="24"/>
                <w:szCs w:val="24"/>
              </w:rPr>
            </w:pPr>
            <w:r w:rsidRPr="00EE0E9B">
              <w:rPr>
                <w:rFonts w:cstheme="minorHAnsi"/>
                <w:b/>
                <w:bCs/>
                <w:sz w:val="24"/>
                <w:szCs w:val="24"/>
              </w:rPr>
              <w:t>International Students / Visiting Workers:</w:t>
            </w:r>
            <w:r w:rsidRPr="00EE0E9B">
              <w:rPr>
                <w:rFonts w:cstheme="minorHAnsi"/>
                <w:sz w:val="24"/>
                <w:szCs w:val="24"/>
              </w:rPr>
              <w:br/>
              <w:t>Explicit inclusion of visiting workers ensures coverage and reduces risk gaps.</w:t>
            </w:r>
          </w:p>
          <w:p w14:paraId="5FE5E405" w14:textId="3FAE682E" w:rsidR="00A7533F" w:rsidRPr="00EE0E9B" w:rsidRDefault="00DF68A5" w:rsidP="00743372">
            <w:pPr>
              <w:spacing w:line="276" w:lineRule="auto"/>
              <w:rPr>
                <w:rFonts w:cstheme="minorHAnsi"/>
                <w:sz w:val="24"/>
                <w:szCs w:val="24"/>
              </w:rPr>
            </w:pPr>
            <w:r w:rsidRPr="00EE0E9B">
              <w:rPr>
                <w:rFonts w:cstheme="minorHAnsi"/>
                <w:b/>
                <w:bCs/>
                <w:sz w:val="24"/>
                <w:szCs w:val="24"/>
              </w:rPr>
              <w:t>Online/Remote Participants:</w:t>
            </w:r>
            <w:r w:rsidRPr="00EE0E9B">
              <w:rPr>
                <w:rFonts w:cstheme="minorHAnsi"/>
                <w:sz w:val="24"/>
                <w:szCs w:val="24"/>
              </w:rPr>
              <w:br/>
              <w:t>Reference to online working ensures safeguarding applies in digital environments.</w:t>
            </w:r>
          </w:p>
        </w:tc>
        <w:tc>
          <w:tcPr>
            <w:tcW w:w="2386" w:type="dxa"/>
          </w:tcPr>
          <w:p w14:paraId="1169778D" w14:textId="412761F9" w:rsidR="00A7533F" w:rsidRPr="00EE0E9B" w:rsidRDefault="00EE0E9B" w:rsidP="00743372">
            <w:pPr>
              <w:spacing w:line="276" w:lineRule="auto"/>
              <w:rPr>
                <w:rFonts w:cstheme="minorHAnsi"/>
                <w:sz w:val="24"/>
                <w:szCs w:val="24"/>
              </w:rPr>
            </w:pPr>
            <w:r w:rsidRPr="00EE0E9B">
              <w:rPr>
                <w:rFonts w:cstheme="minorHAnsi"/>
                <w:sz w:val="24"/>
                <w:szCs w:val="24"/>
              </w:rPr>
              <w:t>None identified.</w:t>
            </w:r>
          </w:p>
        </w:tc>
        <w:tc>
          <w:tcPr>
            <w:tcW w:w="3487" w:type="dxa"/>
          </w:tcPr>
          <w:p w14:paraId="161C06A3" w14:textId="4BFCB85C" w:rsidR="00A7533F" w:rsidRPr="00EE0E9B" w:rsidRDefault="00EE0E9B" w:rsidP="00743372">
            <w:pPr>
              <w:spacing w:line="276" w:lineRule="auto"/>
              <w:rPr>
                <w:rFonts w:cstheme="minorHAnsi"/>
                <w:sz w:val="24"/>
                <w:szCs w:val="24"/>
              </w:rPr>
            </w:pPr>
            <w:r w:rsidRPr="00EE0E9B">
              <w:rPr>
                <w:sz w:val="24"/>
                <w:szCs w:val="24"/>
              </w:rPr>
              <w:t>Not applicable beyond safeguarding scope.</w:t>
            </w:r>
          </w:p>
        </w:tc>
      </w:tr>
    </w:tbl>
    <w:p w14:paraId="7FB8FAA5" w14:textId="77777777" w:rsidR="00A7533F" w:rsidRPr="004A4FFD" w:rsidRDefault="00A7533F">
      <w:pPr>
        <w:rPr>
          <w:rFonts w:cstheme="minorHAnsi"/>
        </w:rPr>
      </w:pPr>
    </w:p>
    <w:tbl>
      <w:tblPr>
        <w:tblStyle w:val="TableGrid"/>
        <w:tblW w:w="0" w:type="auto"/>
        <w:tblLook w:val="04A0" w:firstRow="1" w:lastRow="0" w:firstColumn="1" w:lastColumn="0" w:noHBand="0" w:noVBand="1"/>
      </w:tblPr>
      <w:tblGrid>
        <w:gridCol w:w="13948"/>
      </w:tblGrid>
      <w:tr w:rsidR="00A7533F" w:rsidRPr="004A4FFD" w14:paraId="6D685942" w14:textId="77777777" w:rsidTr="00743372">
        <w:tc>
          <w:tcPr>
            <w:tcW w:w="13948" w:type="dxa"/>
            <w:shd w:val="clear" w:color="auto" w:fill="F2F2F2" w:themeFill="background1" w:themeFillShade="F2"/>
          </w:tcPr>
          <w:p w14:paraId="7674798F" w14:textId="77777777" w:rsidR="00A7533F" w:rsidRPr="004A4FFD" w:rsidRDefault="00A7533F" w:rsidP="00A7533F">
            <w:pPr>
              <w:pStyle w:val="ListParagraph"/>
              <w:numPr>
                <w:ilvl w:val="0"/>
                <w:numId w:val="1"/>
              </w:numPr>
              <w:spacing w:line="276" w:lineRule="auto"/>
              <w:rPr>
                <w:rFonts w:cstheme="minorHAnsi"/>
                <w:b/>
                <w:sz w:val="28"/>
              </w:rPr>
            </w:pPr>
            <w:r w:rsidRPr="004A4FFD">
              <w:rPr>
                <w:rFonts w:cstheme="minorHAnsi"/>
                <w:b/>
                <w:sz w:val="28"/>
              </w:rPr>
              <w:t xml:space="preserve">How has the identified negative impact been mitigated? </w:t>
            </w:r>
            <w:r w:rsidRPr="004A4FFD">
              <w:rPr>
                <w:rFonts w:cstheme="minorHAnsi"/>
                <w:sz w:val="28"/>
              </w:rPr>
              <w:t>– please provide details of undertaken actions broken down by protected characteristic</w:t>
            </w:r>
          </w:p>
        </w:tc>
      </w:tr>
      <w:tr w:rsidR="00A7533F" w:rsidRPr="004A4FFD" w14:paraId="2ECB77E0" w14:textId="77777777" w:rsidTr="00DF68A5">
        <w:trPr>
          <w:trHeight w:val="1220"/>
        </w:trPr>
        <w:tc>
          <w:tcPr>
            <w:tcW w:w="13948" w:type="dxa"/>
          </w:tcPr>
          <w:p w14:paraId="5FD4520B" w14:textId="23810A42" w:rsidR="00DF68A5" w:rsidRPr="004A4FFD" w:rsidRDefault="00DF68A5" w:rsidP="00DF68A5">
            <w:pPr>
              <w:pStyle w:val="ListParagraph"/>
              <w:numPr>
                <w:ilvl w:val="0"/>
                <w:numId w:val="4"/>
              </w:numPr>
              <w:spacing w:line="276" w:lineRule="auto"/>
              <w:rPr>
                <w:rFonts w:cstheme="minorHAnsi"/>
                <w:sz w:val="24"/>
                <w:szCs w:val="24"/>
              </w:rPr>
            </w:pPr>
            <w:r w:rsidRPr="004A4FFD">
              <w:rPr>
                <w:rFonts w:cstheme="minorHAnsi"/>
                <w:b/>
                <w:bCs/>
                <w:sz w:val="24"/>
                <w:szCs w:val="24"/>
              </w:rPr>
              <w:t xml:space="preserve">Disability </w:t>
            </w:r>
            <w:r w:rsidRPr="004A4FFD">
              <w:rPr>
                <w:rFonts w:cstheme="minorHAnsi"/>
                <w:sz w:val="24"/>
                <w:szCs w:val="24"/>
              </w:rPr>
              <w:t>- Accessible documentation; training includes disability vulnerability awareness</w:t>
            </w:r>
          </w:p>
          <w:p w14:paraId="6F5C610F" w14:textId="6C14E677" w:rsidR="00DF68A5" w:rsidRPr="004A4FFD" w:rsidRDefault="00DF68A5" w:rsidP="00DF68A5">
            <w:pPr>
              <w:pStyle w:val="ListParagraph"/>
              <w:numPr>
                <w:ilvl w:val="0"/>
                <w:numId w:val="4"/>
              </w:numPr>
              <w:spacing w:line="276" w:lineRule="auto"/>
              <w:rPr>
                <w:rFonts w:cstheme="minorHAnsi"/>
                <w:sz w:val="24"/>
                <w:szCs w:val="24"/>
              </w:rPr>
            </w:pPr>
            <w:r w:rsidRPr="004A4FFD">
              <w:rPr>
                <w:rFonts w:cstheme="minorHAnsi"/>
                <w:b/>
                <w:bCs/>
                <w:sz w:val="24"/>
                <w:szCs w:val="24"/>
              </w:rPr>
              <w:t>Race</w:t>
            </w:r>
            <w:r w:rsidRPr="004A4FFD">
              <w:rPr>
                <w:rFonts w:cstheme="minorHAnsi"/>
                <w:sz w:val="24"/>
                <w:szCs w:val="24"/>
              </w:rPr>
              <w:t>- Bias awareness embedded in training; clear objective reporting templates</w:t>
            </w:r>
          </w:p>
          <w:p w14:paraId="573531FC" w14:textId="3523B4E8" w:rsidR="00A7533F" w:rsidRPr="004A4FFD" w:rsidRDefault="00DF68A5" w:rsidP="00DF68A5">
            <w:pPr>
              <w:pStyle w:val="ListParagraph"/>
              <w:numPr>
                <w:ilvl w:val="0"/>
                <w:numId w:val="4"/>
              </w:numPr>
              <w:spacing w:line="276" w:lineRule="auto"/>
              <w:rPr>
                <w:rFonts w:cstheme="minorHAnsi"/>
              </w:rPr>
            </w:pPr>
            <w:r w:rsidRPr="004A4FFD">
              <w:rPr>
                <w:rFonts w:cstheme="minorHAnsi"/>
                <w:b/>
                <w:bCs/>
                <w:sz w:val="24"/>
                <w:szCs w:val="24"/>
              </w:rPr>
              <w:t>All groups</w:t>
            </w:r>
            <w:r w:rsidRPr="004A4FFD">
              <w:rPr>
                <w:rFonts w:cstheme="minorHAnsi"/>
                <w:sz w:val="24"/>
                <w:szCs w:val="24"/>
              </w:rPr>
              <w:t xml:space="preserve"> - Clear escalation routes; structured checklists; defined responsibilities reduce discretionary risk</w:t>
            </w:r>
          </w:p>
        </w:tc>
      </w:tr>
    </w:tbl>
    <w:p w14:paraId="4EC2925C" w14:textId="77777777" w:rsidR="00A7533F" w:rsidRPr="004A4FFD" w:rsidRDefault="00A7533F" w:rsidP="00A7533F">
      <w:pPr>
        <w:spacing w:after="0" w:line="276" w:lineRule="auto"/>
        <w:rPr>
          <w:rFonts w:cstheme="minorHAnsi"/>
        </w:rPr>
      </w:pPr>
    </w:p>
    <w:tbl>
      <w:tblPr>
        <w:tblStyle w:val="TableGrid"/>
        <w:tblW w:w="0" w:type="auto"/>
        <w:tblLook w:val="04A0" w:firstRow="1" w:lastRow="0" w:firstColumn="1" w:lastColumn="0" w:noHBand="0" w:noVBand="1"/>
      </w:tblPr>
      <w:tblGrid>
        <w:gridCol w:w="13948"/>
      </w:tblGrid>
      <w:tr w:rsidR="00A7533F" w:rsidRPr="004A4FFD" w14:paraId="50850C08" w14:textId="77777777" w:rsidTr="00743372">
        <w:tc>
          <w:tcPr>
            <w:tcW w:w="13948" w:type="dxa"/>
            <w:shd w:val="clear" w:color="auto" w:fill="F2F2F2" w:themeFill="background1" w:themeFillShade="F2"/>
          </w:tcPr>
          <w:p w14:paraId="19759FED" w14:textId="77777777" w:rsidR="00A7533F" w:rsidRPr="004A4FFD" w:rsidRDefault="00A7533F" w:rsidP="00A7533F">
            <w:pPr>
              <w:pStyle w:val="ListParagraph"/>
              <w:numPr>
                <w:ilvl w:val="0"/>
                <w:numId w:val="1"/>
              </w:numPr>
              <w:spacing w:line="276" w:lineRule="auto"/>
              <w:rPr>
                <w:rFonts w:cstheme="minorHAnsi"/>
                <w:b/>
                <w:sz w:val="28"/>
              </w:rPr>
            </w:pPr>
            <w:r w:rsidRPr="004A4FFD">
              <w:rPr>
                <w:rFonts w:cstheme="minorHAnsi"/>
                <w:b/>
                <w:sz w:val="28"/>
              </w:rPr>
              <w:t xml:space="preserve">Any outstanding mitigation (where applicable) </w:t>
            </w:r>
            <w:r w:rsidRPr="004A4FFD">
              <w:rPr>
                <w:rFonts w:cstheme="minorHAnsi"/>
                <w:sz w:val="28"/>
              </w:rPr>
              <w:t xml:space="preserve">– please provide a concise action plan with action owner and a timescale for competition </w:t>
            </w:r>
          </w:p>
        </w:tc>
      </w:tr>
    </w:tbl>
    <w:p w14:paraId="1B2B6CF2" w14:textId="77777777" w:rsidR="00A7533F" w:rsidRPr="004A4FFD" w:rsidRDefault="00A7533F" w:rsidP="00A7533F">
      <w:pPr>
        <w:spacing w:after="0" w:line="276" w:lineRule="auto"/>
        <w:rPr>
          <w:rFonts w:cstheme="minorHAnsi"/>
        </w:rPr>
      </w:pPr>
    </w:p>
    <w:tbl>
      <w:tblPr>
        <w:tblStyle w:val="TableGrid"/>
        <w:tblW w:w="0" w:type="auto"/>
        <w:tblLook w:val="04A0" w:firstRow="1" w:lastRow="0" w:firstColumn="1" w:lastColumn="0" w:noHBand="0" w:noVBand="1"/>
      </w:tblPr>
      <w:tblGrid>
        <w:gridCol w:w="3487"/>
        <w:gridCol w:w="3487"/>
        <w:gridCol w:w="3487"/>
        <w:gridCol w:w="3426"/>
      </w:tblGrid>
      <w:tr w:rsidR="00A7533F" w:rsidRPr="004A4FFD" w14:paraId="5AEF3E7B" w14:textId="77777777" w:rsidTr="008D6A6E">
        <w:tc>
          <w:tcPr>
            <w:tcW w:w="3487" w:type="dxa"/>
            <w:shd w:val="clear" w:color="auto" w:fill="F2F2F2" w:themeFill="background1" w:themeFillShade="F2"/>
          </w:tcPr>
          <w:p w14:paraId="6BFF31D0" w14:textId="77777777" w:rsidR="00A7533F" w:rsidRPr="004A4FFD" w:rsidRDefault="00A7533F" w:rsidP="00743372">
            <w:pPr>
              <w:spacing w:line="276" w:lineRule="auto"/>
              <w:rPr>
                <w:rFonts w:cstheme="minorHAnsi"/>
                <w:b/>
                <w:sz w:val="28"/>
                <w:szCs w:val="28"/>
              </w:rPr>
            </w:pPr>
            <w:r w:rsidRPr="004A4FFD">
              <w:rPr>
                <w:rFonts w:cstheme="minorHAnsi"/>
                <w:b/>
                <w:sz w:val="28"/>
                <w:szCs w:val="28"/>
              </w:rPr>
              <w:t>Action</w:t>
            </w:r>
          </w:p>
        </w:tc>
        <w:tc>
          <w:tcPr>
            <w:tcW w:w="3487" w:type="dxa"/>
            <w:shd w:val="clear" w:color="auto" w:fill="F2F2F2" w:themeFill="background1" w:themeFillShade="F2"/>
          </w:tcPr>
          <w:p w14:paraId="3826F7B7" w14:textId="77777777" w:rsidR="00A7533F" w:rsidRPr="004A4FFD" w:rsidRDefault="00A7533F" w:rsidP="00743372">
            <w:pPr>
              <w:spacing w:line="276" w:lineRule="auto"/>
              <w:rPr>
                <w:rFonts w:cstheme="minorHAnsi"/>
                <w:b/>
                <w:sz w:val="28"/>
                <w:szCs w:val="28"/>
              </w:rPr>
            </w:pPr>
            <w:r w:rsidRPr="004A4FFD">
              <w:rPr>
                <w:rFonts w:cstheme="minorHAnsi"/>
                <w:b/>
                <w:sz w:val="28"/>
                <w:szCs w:val="28"/>
              </w:rPr>
              <w:t>Equality Impact</w:t>
            </w:r>
          </w:p>
        </w:tc>
        <w:tc>
          <w:tcPr>
            <w:tcW w:w="3487" w:type="dxa"/>
            <w:shd w:val="clear" w:color="auto" w:fill="F2F2F2" w:themeFill="background1" w:themeFillShade="F2"/>
          </w:tcPr>
          <w:p w14:paraId="49FA0AC3" w14:textId="77777777" w:rsidR="00A7533F" w:rsidRPr="004A4FFD" w:rsidRDefault="00A7533F" w:rsidP="00743372">
            <w:pPr>
              <w:spacing w:line="276" w:lineRule="auto"/>
              <w:rPr>
                <w:rFonts w:cstheme="minorHAnsi"/>
                <w:b/>
                <w:sz w:val="28"/>
                <w:szCs w:val="28"/>
              </w:rPr>
            </w:pPr>
            <w:r w:rsidRPr="004A4FFD">
              <w:rPr>
                <w:rFonts w:cstheme="minorHAnsi"/>
                <w:b/>
                <w:sz w:val="28"/>
                <w:szCs w:val="28"/>
              </w:rPr>
              <w:t xml:space="preserve">Person Responsible </w:t>
            </w:r>
          </w:p>
        </w:tc>
        <w:tc>
          <w:tcPr>
            <w:tcW w:w="3426" w:type="dxa"/>
            <w:shd w:val="clear" w:color="auto" w:fill="F2F2F2" w:themeFill="background1" w:themeFillShade="F2"/>
          </w:tcPr>
          <w:p w14:paraId="187BA82B" w14:textId="77777777" w:rsidR="00A7533F" w:rsidRPr="004A4FFD" w:rsidRDefault="00A7533F" w:rsidP="00743372">
            <w:pPr>
              <w:spacing w:line="276" w:lineRule="auto"/>
              <w:rPr>
                <w:rFonts w:cstheme="minorHAnsi"/>
                <w:b/>
                <w:sz w:val="28"/>
                <w:szCs w:val="28"/>
              </w:rPr>
            </w:pPr>
            <w:r w:rsidRPr="004A4FFD">
              <w:rPr>
                <w:rFonts w:cstheme="minorHAnsi"/>
                <w:b/>
                <w:sz w:val="28"/>
                <w:szCs w:val="28"/>
              </w:rPr>
              <w:t>Time frame</w:t>
            </w:r>
          </w:p>
        </w:tc>
      </w:tr>
      <w:tr w:rsidR="00A7533F" w:rsidRPr="004A4FFD" w14:paraId="4E91B371" w14:textId="77777777" w:rsidTr="008D6A6E">
        <w:trPr>
          <w:trHeight w:val="2268"/>
        </w:trPr>
        <w:tc>
          <w:tcPr>
            <w:tcW w:w="3487" w:type="dxa"/>
          </w:tcPr>
          <w:p w14:paraId="1542584A" w14:textId="77777777" w:rsidR="00A7533F" w:rsidRPr="008D6A6E" w:rsidRDefault="00DF68A5" w:rsidP="00743372">
            <w:pPr>
              <w:spacing w:line="276" w:lineRule="auto"/>
              <w:rPr>
                <w:rFonts w:cstheme="minorHAnsi"/>
                <w:sz w:val="24"/>
                <w:szCs w:val="24"/>
              </w:rPr>
            </w:pPr>
            <w:r w:rsidRPr="008D6A6E">
              <w:rPr>
                <w:rFonts w:cstheme="minorHAnsi"/>
                <w:sz w:val="24"/>
                <w:szCs w:val="24"/>
              </w:rPr>
              <w:lastRenderedPageBreak/>
              <w:t>Develop updated safeguarding training modules</w:t>
            </w:r>
          </w:p>
          <w:p w14:paraId="51C0F2F3" w14:textId="77777777" w:rsidR="00DF68A5" w:rsidRPr="008D6A6E" w:rsidRDefault="00DF68A5" w:rsidP="00743372">
            <w:pPr>
              <w:spacing w:line="276" w:lineRule="auto"/>
              <w:rPr>
                <w:rFonts w:cstheme="minorHAnsi"/>
                <w:sz w:val="24"/>
                <w:szCs w:val="24"/>
              </w:rPr>
            </w:pPr>
          </w:p>
          <w:p w14:paraId="2084521E" w14:textId="77777777" w:rsidR="008D6A6E" w:rsidRPr="008D6A6E" w:rsidRDefault="008D6A6E" w:rsidP="00743372">
            <w:pPr>
              <w:spacing w:line="276" w:lineRule="auto"/>
              <w:rPr>
                <w:rFonts w:cstheme="minorHAnsi"/>
                <w:sz w:val="24"/>
                <w:szCs w:val="24"/>
              </w:rPr>
            </w:pPr>
          </w:p>
          <w:p w14:paraId="68BE0C4C" w14:textId="77777777" w:rsidR="008D6A6E" w:rsidRPr="008D6A6E" w:rsidRDefault="008D6A6E" w:rsidP="00743372">
            <w:pPr>
              <w:spacing w:line="276" w:lineRule="auto"/>
              <w:rPr>
                <w:rFonts w:cstheme="minorHAnsi"/>
                <w:sz w:val="24"/>
                <w:szCs w:val="24"/>
              </w:rPr>
            </w:pPr>
          </w:p>
          <w:p w14:paraId="0F71BB65" w14:textId="77777777" w:rsidR="008D6A6E" w:rsidRPr="008D6A6E" w:rsidRDefault="008D6A6E" w:rsidP="00743372">
            <w:pPr>
              <w:spacing w:line="276" w:lineRule="auto"/>
              <w:rPr>
                <w:rFonts w:cstheme="minorHAnsi"/>
                <w:sz w:val="24"/>
                <w:szCs w:val="24"/>
              </w:rPr>
            </w:pPr>
          </w:p>
          <w:p w14:paraId="5C1B3B0E" w14:textId="5CF6BF8B" w:rsidR="00DF68A5" w:rsidRPr="008D6A6E" w:rsidRDefault="00DF68A5" w:rsidP="00743372">
            <w:pPr>
              <w:spacing w:line="276" w:lineRule="auto"/>
              <w:rPr>
                <w:rFonts w:cstheme="minorHAnsi"/>
                <w:sz w:val="24"/>
                <w:szCs w:val="24"/>
              </w:rPr>
            </w:pPr>
            <w:r w:rsidRPr="008D6A6E">
              <w:rPr>
                <w:rFonts w:cstheme="minorHAnsi"/>
                <w:sz w:val="24"/>
                <w:szCs w:val="24"/>
              </w:rPr>
              <w:t>Create accessible web version of policy</w:t>
            </w:r>
            <w:r w:rsidR="008D6A6E" w:rsidRPr="008D6A6E">
              <w:rPr>
                <w:rFonts w:cstheme="minorHAnsi"/>
                <w:sz w:val="24"/>
                <w:szCs w:val="24"/>
              </w:rPr>
              <w:t xml:space="preserve"> - (screen reader compatible, plain English summary)</w:t>
            </w:r>
          </w:p>
          <w:p w14:paraId="19100C0C" w14:textId="77777777" w:rsidR="00DF68A5" w:rsidRPr="008D6A6E" w:rsidRDefault="00DF68A5" w:rsidP="00743372">
            <w:pPr>
              <w:spacing w:line="276" w:lineRule="auto"/>
              <w:rPr>
                <w:rFonts w:cstheme="minorHAnsi"/>
                <w:sz w:val="24"/>
                <w:szCs w:val="24"/>
              </w:rPr>
            </w:pPr>
          </w:p>
          <w:p w14:paraId="1FE6020C" w14:textId="77777777" w:rsidR="008D6A6E" w:rsidRPr="008D6A6E" w:rsidRDefault="00DF68A5" w:rsidP="00743372">
            <w:pPr>
              <w:spacing w:line="276" w:lineRule="auto"/>
              <w:rPr>
                <w:rFonts w:cstheme="minorHAnsi"/>
                <w:sz w:val="24"/>
                <w:szCs w:val="24"/>
              </w:rPr>
            </w:pPr>
            <w:r w:rsidRPr="008D6A6E">
              <w:rPr>
                <w:rFonts w:cstheme="minorHAnsi"/>
                <w:sz w:val="24"/>
                <w:szCs w:val="24"/>
              </w:rPr>
              <w:t xml:space="preserve">Annual safeguarding awareness </w:t>
            </w:r>
          </w:p>
          <w:p w14:paraId="3AE6292F" w14:textId="245A28EB" w:rsidR="00DF68A5" w:rsidRPr="008D6A6E" w:rsidRDefault="008D6A6E" w:rsidP="00743372">
            <w:pPr>
              <w:spacing w:line="276" w:lineRule="auto"/>
              <w:rPr>
                <w:rFonts w:cstheme="minorHAnsi"/>
                <w:sz w:val="24"/>
                <w:szCs w:val="24"/>
              </w:rPr>
            </w:pPr>
            <w:r w:rsidRPr="008D6A6E">
              <w:rPr>
                <w:rFonts w:cstheme="minorHAnsi"/>
                <w:sz w:val="24"/>
                <w:szCs w:val="24"/>
              </w:rPr>
              <w:t>R</w:t>
            </w:r>
            <w:r w:rsidR="00DF68A5" w:rsidRPr="008D6A6E">
              <w:rPr>
                <w:rFonts w:cstheme="minorHAnsi"/>
                <w:sz w:val="24"/>
                <w:szCs w:val="24"/>
              </w:rPr>
              <w:t>eminder</w:t>
            </w:r>
          </w:p>
          <w:p w14:paraId="0E0F7910" w14:textId="77777777" w:rsidR="008D6A6E" w:rsidRPr="008D6A6E" w:rsidRDefault="008D6A6E" w:rsidP="00743372">
            <w:pPr>
              <w:spacing w:line="276" w:lineRule="auto"/>
              <w:rPr>
                <w:rFonts w:cstheme="minorHAnsi"/>
                <w:sz w:val="24"/>
                <w:szCs w:val="24"/>
              </w:rPr>
            </w:pPr>
          </w:p>
          <w:p w14:paraId="0A3F8F1C" w14:textId="77777777" w:rsidR="008D6A6E" w:rsidRPr="008D6A6E" w:rsidRDefault="008D6A6E" w:rsidP="00743372">
            <w:pPr>
              <w:spacing w:line="276" w:lineRule="auto"/>
              <w:rPr>
                <w:rFonts w:cstheme="minorHAnsi"/>
                <w:sz w:val="24"/>
                <w:szCs w:val="24"/>
              </w:rPr>
            </w:pPr>
          </w:p>
          <w:p w14:paraId="6C0F8FAE" w14:textId="54BDA3BE" w:rsidR="008D6A6E" w:rsidRPr="008D6A6E" w:rsidRDefault="008D6A6E" w:rsidP="00743372">
            <w:pPr>
              <w:spacing w:line="276" w:lineRule="auto"/>
              <w:rPr>
                <w:rFonts w:cstheme="minorHAnsi"/>
                <w:sz w:val="24"/>
                <w:szCs w:val="24"/>
              </w:rPr>
            </w:pPr>
            <w:r w:rsidRPr="008D6A6E">
              <w:rPr>
                <w:rFonts w:cstheme="minorHAnsi"/>
                <w:sz w:val="24"/>
                <w:szCs w:val="24"/>
              </w:rPr>
              <w:t>Review safeguarding case data annually for equality trends (where data is available).</w:t>
            </w:r>
          </w:p>
          <w:p w14:paraId="273CCBC1" w14:textId="02A416E9" w:rsidR="008D6A6E" w:rsidRPr="008D6A6E" w:rsidRDefault="008D6A6E" w:rsidP="00743372">
            <w:pPr>
              <w:spacing w:line="276" w:lineRule="auto"/>
              <w:rPr>
                <w:rFonts w:cstheme="minorHAnsi"/>
                <w:sz w:val="24"/>
                <w:szCs w:val="24"/>
              </w:rPr>
            </w:pPr>
          </w:p>
        </w:tc>
        <w:tc>
          <w:tcPr>
            <w:tcW w:w="3487" w:type="dxa"/>
          </w:tcPr>
          <w:p w14:paraId="4C7FD022" w14:textId="0B7C5B04" w:rsidR="00A7533F" w:rsidRPr="008D6A6E" w:rsidRDefault="008D6A6E" w:rsidP="00743372">
            <w:pPr>
              <w:spacing w:line="276" w:lineRule="auto"/>
              <w:rPr>
                <w:rFonts w:cstheme="minorHAnsi"/>
                <w:sz w:val="24"/>
                <w:szCs w:val="24"/>
              </w:rPr>
            </w:pPr>
            <w:r w:rsidRPr="008D6A6E">
              <w:rPr>
                <w:rFonts w:cstheme="minorHAnsi"/>
                <w:sz w:val="24"/>
                <w:szCs w:val="24"/>
              </w:rPr>
              <w:t>Advance equality of opportunity by embedding equality and bias awareness within safeguarding decision-making.</w:t>
            </w:r>
          </w:p>
          <w:p w14:paraId="3555DBA8" w14:textId="77777777" w:rsidR="00DF68A5" w:rsidRPr="008D6A6E" w:rsidRDefault="00DF68A5" w:rsidP="00743372">
            <w:pPr>
              <w:spacing w:line="276" w:lineRule="auto"/>
              <w:rPr>
                <w:rFonts w:cstheme="minorHAnsi"/>
                <w:sz w:val="24"/>
                <w:szCs w:val="24"/>
              </w:rPr>
            </w:pPr>
          </w:p>
          <w:p w14:paraId="456A78A4" w14:textId="77777777" w:rsidR="00DF68A5" w:rsidRPr="008D6A6E" w:rsidRDefault="00DF68A5" w:rsidP="00743372">
            <w:pPr>
              <w:spacing w:line="276" w:lineRule="auto"/>
              <w:rPr>
                <w:rFonts w:cstheme="minorHAnsi"/>
                <w:sz w:val="24"/>
                <w:szCs w:val="24"/>
              </w:rPr>
            </w:pPr>
          </w:p>
          <w:p w14:paraId="1A593CF5" w14:textId="77777777" w:rsidR="00DF68A5" w:rsidRPr="008D6A6E" w:rsidRDefault="00DF68A5" w:rsidP="00743372">
            <w:pPr>
              <w:spacing w:line="276" w:lineRule="auto"/>
              <w:rPr>
                <w:rFonts w:cstheme="minorHAnsi"/>
                <w:sz w:val="24"/>
                <w:szCs w:val="24"/>
              </w:rPr>
            </w:pPr>
            <w:r w:rsidRPr="008D6A6E">
              <w:rPr>
                <w:rFonts w:cstheme="minorHAnsi"/>
                <w:sz w:val="24"/>
                <w:szCs w:val="24"/>
              </w:rPr>
              <w:t>Remove potential barriers</w:t>
            </w:r>
          </w:p>
          <w:p w14:paraId="295B6523" w14:textId="77777777" w:rsidR="00DF68A5" w:rsidRPr="008D6A6E" w:rsidRDefault="00DF68A5" w:rsidP="00743372">
            <w:pPr>
              <w:spacing w:line="276" w:lineRule="auto"/>
              <w:rPr>
                <w:rFonts w:cstheme="minorHAnsi"/>
                <w:sz w:val="24"/>
                <w:szCs w:val="24"/>
              </w:rPr>
            </w:pPr>
          </w:p>
          <w:p w14:paraId="6DD75B69" w14:textId="77777777" w:rsidR="00DF68A5" w:rsidRPr="008D6A6E" w:rsidRDefault="00DF68A5" w:rsidP="00743372">
            <w:pPr>
              <w:spacing w:line="276" w:lineRule="auto"/>
              <w:rPr>
                <w:rFonts w:cstheme="minorHAnsi"/>
                <w:sz w:val="24"/>
                <w:szCs w:val="24"/>
              </w:rPr>
            </w:pPr>
          </w:p>
          <w:p w14:paraId="2D21D505" w14:textId="77777777" w:rsidR="008D6A6E" w:rsidRPr="008D6A6E" w:rsidRDefault="008D6A6E" w:rsidP="00743372">
            <w:pPr>
              <w:spacing w:line="276" w:lineRule="auto"/>
              <w:rPr>
                <w:rFonts w:cstheme="minorHAnsi"/>
                <w:sz w:val="24"/>
                <w:szCs w:val="24"/>
              </w:rPr>
            </w:pPr>
          </w:p>
          <w:p w14:paraId="149CBA67" w14:textId="77777777" w:rsidR="008D6A6E" w:rsidRDefault="008D6A6E" w:rsidP="00743372">
            <w:pPr>
              <w:spacing w:line="276" w:lineRule="auto"/>
              <w:rPr>
                <w:rFonts w:cstheme="minorHAnsi"/>
                <w:sz w:val="24"/>
                <w:szCs w:val="24"/>
              </w:rPr>
            </w:pPr>
          </w:p>
          <w:p w14:paraId="1EA3E8BE" w14:textId="67DC9714" w:rsidR="00DF68A5" w:rsidRPr="008D6A6E" w:rsidRDefault="00DF68A5" w:rsidP="00743372">
            <w:pPr>
              <w:spacing w:line="276" w:lineRule="auto"/>
              <w:rPr>
                <w:rFonts w:cstheme="minorHAnsi"/>
                <w:sz w:val="24"/>
                <w:szCs w:val="24"/>
              </w:rPr>
            </w:pPr>
            <w:r w:rsidRPr="008D6A6E">
              <w:rPr>
                <w:rFonts w:cstheme="minorHAnsi"/>
                <w:sz w:val="24"/>
                <w:szCs w:val="24"/>
              </w:rPr>
              <w:t>Foster good relations &amp; compliance</w:t>
            </w:r>
          </w:p>
          <w:p w14:paraId="40C6AAF4" w14:textId="77777777" w:rsidR="008D6A6E" w:rsidRPr="008D6A6E" w:rsidRDefault="008D6A6E" w:rsidP="00743372">
            <w:pPr>
              <w:spacing w:line="276" w:lineRule="auto"/>
              <w:rPr>
                <w:rFonts w:cstheme="minorHAnsi"/>
                <w:sz w:val="24"/>
                <w:szCs w:val="24"/>
              </w:rPr>
            </w:pPr>
          </w:p>
          <w:p w14:paraId="2F8899A4" w14:textId="77777777" w:rsidR="008D6A6E" w:rsidRPr="008D6A6E" w:rsidRDefault="008D6A6E" w:rsidP="00743372">
            <w:pPr>
              <w:spacing w:line="276" w:lineRule="auto"/>
              <w:rPr>
                <w:rFonts w:cstheme="minorHAnsi"/>
                <w:sz w:val="24"/>
                <w:szCs w:val="24"/>
              </w:rPr>
            </w:pPr>
          </w:p>
          <w:p w14:paraId="62616123" w14:textId="074F1F47" w:rsidR="008D6A6E" w:rsidRPr="008D6A6E" w:rsidRDefault="008D6A6E" w:rsidP="00743372">
            <w:pPr>
              <w:spacing w:line="276" w:lineRule="auto"/>
              <w:rPr>
                <w:rFonts w:cstheme="minorHAnsi"/>
                <w:sz w:val="24"/>
                <w:szCs w:val="24"/>
              </w:rPr>
            </w:pPr>
            <w:r w:rsidRPr="008D6A6E">
              <w:rPr>
                <w:rFonts w:cstheme="minorHAnsi"/>
                <w:sz w:val="24"/>
                <w:szCs w:val="24"/>
              </w:rPr>
              <w:t>Ensure no disproportionate impact or bias in safeguarding decision-making.</w:t>
            </w:r>
          </w:p>
        </w:tc>
        <w:tc>
          <w:tcPr>
            <w:tcW w:w="3487" w:type="dxa"/>
          </w:tcPr>
          <w:p w14:paraId="25A0D34B" w14:textId="77777777" w:rsidR="00A7533F" w:rsidRPr="008D6A6E" w:rsidRDefault="00DF68A5" w:rsidP="00743372">
            <w:pPr>
              <w:spacing w:line="276" w:lineRule="auto"/>
              <w:rPr>
                <w:rFonts w:cstheme="minorHAnsi"/>
                <w:sz w:val="24"/>
                <w:szCs w:val="24"/>
              </w:rPr>
            </w:pPr>
            <w:r w:rsidRPr="008D6A6E">
              <w:rPr>
                <w:rFonts w:cstheme="minorHAnsi"/>
                <w:sz w:val="24"/>
                <w:szCs w:val="24"/>
              </w:rPr>
              <w:t>HR / Student Support</w:t>
            </w:r>
          </w:p>
          <w:p w14:paraId="37F41E6F" w14:textId="77777777" w:rsidR="00DF68A5" w:rsidRPr="008D6A6E" w:rsidRDefault="00DF68A5" w:rsidP="00743372">
            <w:pPr>
              <w:spacing w:line="276" w:lineRule="auto"/>
              <w:rPr>
                <w:rFonts w:cstheme="minorHAnsi"/>
                <w:sz w:val="24"/>
                <w:szCs w:val="24"/>
              </w:rPr>
            </w:pPr>
          </w:p>
          <w:p w14:paraId="614D480E" w14:textId="77777777" w:rsidR="00DF68A5" w:rsidRPr="008D6A6E" w:rsidRDefault="00DF68A5" w:rsidP="00743372">
            <w:pPr>
              <w:spacing w:line="276" w:lineRule="auto"/>
              <w:rPr>
                <w:rFonts w:cstheme="minorHAnsi"/>
                <w:sz w:val="24"/>
                <w:szCs w:val="24"/>
              </w:rPr>
            </w:pPr>
          </w:p>
          <w:p w14:paraId="3573B015" w14:textId="77777777" w:rsidR="008D6A6E" w:rsidRPr="008D6A6E" w:rsidRDefault="008D6A6E" w:rsidP="00743372">
            <w:pPr>
              <w:spacing w:line="276" w:lineRule="auto"/>
              <w:rPr>
                <w:rFonts w:cstheme="minorHAnsi"/>
                <w:sz w:val="24"/>
                <w:szCs w:val="24"/>
              </w:rPr>
            </w:pPr>
          </w:p>
          <w:p w14:paraId="00096638" w14:textId="77777777" w:rsidR="008D6A6E" w:rsidRPr="008D6A6E" w:rsidRDefault="008D6A6E" w:rsidP="00743372">
            <w:pPr>
              <w:spacing w:line="276" w:lineRule="auto"/>
              <w:rPr>
                <w:rFonts w:cstheme="minorHAnsi"/>
                <w:sz w:val="24"/>
                <w:szCs w:val="24"/>
              </w:rPr>
            </w:pPr>
          </w:p>
          <w:p w14:paraId="24873F9F" w14:textId="77777777" w:rsidR="008D6A6E" w:rsidRPr="008D6A6E" w:rsidRDefault="008D6A6E" w:rsidP="00743372">
            <w:pPr>
              <w:spacing w:line="276" w:lineRule="auto"/>
              <w:rPr>
                <w:rFonts w:cstheme="minorHAnsi"/>
                <w:sz w:val="24"/>
                <w:szCs w:val="24"/>
              </w:rPr>
            </w:pPr>
          </w:p>
          <w:p w14:paraId="188C9C00" w14:textId="03A32320" w:rsidR="00DF68A5" w:rsidRPr="008D6A6E" w:rsidRDefault="00DF68A5" w:rsidP="00743372">
            <w:pPr>
              <w:spacing w:line="276" w:lineRule="auto"/>
              <w:rPr>
                <w:rFonts w:cstheme="minorHAnsi"/>
                <w:sz w:val="24"/>
                <w:szCs w:val="24"/>
              </w:rPr>
            </w:pPr>
            <w:r w:rsidRPr="008D6A6E">
              <w:rPr>
                <w:rFonts w:cstheme="minorHAnsi"/>
                <w:sz w:val="24"/>
                <w:szCs w:val="24"/>
              </w:rPr>
              <w:t>HR</w:t>
            </w:r>
          </w:p>
          <w:p w14:paraId="4EDA2F36" w14:textId="77777777" w:rsidR="00DF68A5" w:rsidRPr="008D6A6E" w:rsidRDefault="00DF68A5" w:rsidP="00743372">
            <w:pPr>
              <w:spacing w:line="276" w:lineRule="auto"/>
              <w:rPr>
                <w:rFonts w:cstheme="minorHAnsi"/>
                <w:sz w:val="24"/>
                <w:szCs w:val="24"/>
              </w:rPr>
            </w:pPr>
          </w:p>
          <w:p w14:paraId="1C4850C4" w14:textId="77777777" w:rsidR="00DF68A5" w:rsidRPr="008D6A6E" w:rsidRDefault="00DF68A5" w:rsidP="00743372">
            <w:pPr>
              <w:spacing w:line="276" w:lineRule="auto"/>
              <w:rPr>
                <w:rFonts w:cstheme="minorHAnsi"/>
                <w:sz w:val="24"/>
                <w:szCs w:val="24"/>
              </w:rPr>
            </w:pPr>
          </w:p>
          <w:p w14:paraId="456D756E" w14:textId="77777777" w:rsidR="008D6A6E" w:rsidRPr="008D6A6E" w:rsidRDefault="008D6A6E" w:rsidP="00743372">
            <w:pPr>
              <w:spacing w:line="276" w:lineRule="auto"/>
              <w:rPr>
                <w:rFonts w:cstheme="minorHAnsi"/>
                <w:sz w:val="24"/>
                <w:szCs w:val="24"/>
              </w:rPr>
            </w:pPr>
          </w:p>
          <w:p w14:paraId="4C15A3E3" w14:textId="77777777" w:rsidR="008D6A6E" w:rsidRDefault="008D6A6E" w:rsidP="00743372">
            <w:pPr>
              <w:spacing w:line="276" w:lineRule="auto"/>
              <w:rPr>
                <w:rFonts w:cstheme="minorHAnsi"/>
                <w:sz w:val="24"/>
                <w:szCs w:val="24"/>
              </w:rPr>
            </w:pPr>
          </w:p>
          <w:p w14:paraId="1C184C88" w14:textId="5BA7B69E" w:rsidR="00DF68A5" w:rsidRPr="008D6A6E" w:rsidRDefault="00DF68A5" w:rsidP="00743372">
            <w:pPr>
              <w:spacing w:line="276" w:lineRule="auto"/>
              <w:rPr>
                <w:rFonts w:cstheme="minorHAnsi"/>
                <w:sz w:val="24"/>
                <w:szCs w:val="24"/>
              </w:rPr>
            </w:pPr>
            <w:r w:rsidRPr="008D6A6E">
              <w:rPr>
                <w:rFonts w:cstheme="minorHAnsi"/>
                <w:sz w:val="24"/>
                <w:szCs w:val="24"/>
              </w:rPr>
              <w:t>HR/Governance</w:t>
            </w:r>
          </w:p>
          <w:p w14:paraId="15FF65CF" w14:textId="77777777" w:rsidR="008D6A6E" w:rsidRPr="008D6A6E" w:rsidRDefault="008D6A6E" w:rsidP="00743372">
            <w:pPr>
              <w:spacing w:line="276" w:lineRule="auto"/>
              <w:rPr>
                <w:rFonts w:cstheme="minorHAnsi"/>
                <w:sz w:val="24"/>
                <w:szCs w:val="24"/>
              </w:rPr>
            </w:pPr>
          </w:p>
          <w:p w14:paraId="2913399F" w14:textId="77777777" w:rsidR="008D6A6E" w:rsidRPr="008D6A6E" w:rsidRDefault="008D6A6E" w:rsidP="00743372">
            <w:pPr>
              <w:spacing w:line="276" w:lineRule="auto"/>
              <w:rPr>
                <w:rFonts w:cstheme="minorHAnsi"/>
                <w:sz w:val="24"/>
                <w:szCs w:val="24"/>
              </w:rPr>
            </w:pPr>
          </w:p>
          <w:p w14:paraId="5CA00CAD" w14:textId="77777777" w:rsidR="008D6A6E" w:rsidRPr="008D6A6E" w:rsidRDefault="008D6A6E" w:rsidP="00743372">
            <w:pPr>
              <w:spacing w:line="276" w:lineRule="auto"/>
              <w:rPr>
                <w:rFonts w:cstheme="minorHAnsi"/>
                <w:sz w:val="24"/>
                <w:szCs w:val="24"/>
              </w:rPr>
            </w:pPr>
          </w:p>
          <w:p w14:paraId="4CD85421" w14:textId="3EEDC1EB" w:rsidR="008D6A6E" w:rsidRPr="008D6A6E" w:rsidRDefault="008D6A6E" w:rsidP="00743372">
            <w:pPr>
              <w:spacing w:line="276" w:lineRule="auto"/>
              <w:rPr>
                <w:rFonts w:cstheme="minorHAnsi"/>
                <w:sz w:val="24"/>
                <w:szCs w:val="24"/>
              </w:rPr>
            </w:pPr>
            <w:r w:rsidRPr="008D6A6E">
              <w:rPr>
                <w:rFonts w:cstheme="minorHAnsi"/>
                <w:sz w:val="24"/>
                <w:szCs w:val="24"/>
              </w:rPr>
              <w:t>HR / Student Support</w:t>
            </w:r>
          </w:p>
        </w:tc>
        <w:tc>
          <w:tcPr>
            <w:tcW w:w="3426" w:type="dxa"/>
          </w:tcPr>
          <w:p w14:paraId="6E70EBC9" w14:textId="77777777" w:rsidR="00A7533F" w:rsidRPr="008D6A6E" w:rsidRDefault="00DF68A5" w:rsidP="00DF68A5">
            <w:pPr>
              <w:spacing w:line="276" w:lineRule="auto"/>
              <w:rPr>
                <w:rFonts w:cstheme="minorHAnsi"/>
                <w:sz w:val="24"/>
                <w:szCs w:val="24"/>
              </w:rPr>
            </w:pPr>
            <w:r w:rsidRPr="008D6A6E">
              <w:rPr>
                <w:rFonts w:cstheme="minorHAnsi"/>
                <w:sz w:val="24"/>
                <w:szCs w:val="24"/>
              </w:rPr>
              <w:t>Within 6 months of approval</w:t>
            </w:r>
          </w:p>
          <w:p w14:paraId="47171E2F" w14:textId="77777777" w:rsidR="00DF68A5" w:rsidRPr="008D6A6E" w:rsidRDefault="00DF68A5" w:rsidP="00DF68A5">
            <w:pPr>
              <w:spacing w:line="276" w:lineRule="auto"/>
              <w:rPr>
                <w:rFonts w:cstheme="minorHAnsi"/>
                <w:sz w:val="24"/>
                <w:szCs w:val="24"/>
              </w:rPr>
            </w:pPr>
          </w:p>
          <w:p w14:paraId="2A0CBEFE" w14:textId="77777777" w:rsidR="00DF68A5" w:rsidRPr="008D6A6E" w:rsidRDefault="00DF68A5" w:rsidP="00DF68A5">
            <w:pPr>
              <w:spacing w:line="276" w:lineRule="auto"/>
              <w:rPr>
                <w:rFonts w:cstheme="minorHAnsi"/>
                <w:sz w:val="24"/>
                <w:szCs w:val="24"/>
              </w:rPr>
            </w:pPr>
          </w:p>
          <w:p w14:paraId="6D4FA1D0" w14:textId="77777777" w:rsidR="008D6A6E" w:rsidRPr="008D6A6E" w:rsidRDefault="008D6A6E" w:rsidP="00DF68A5">
            <w:pPr>
              <w:spacing w:line="276" w:lineRule="auto"/>
              <w:rPr>
                <w:rFonts w:cstheme="minorHAnsi"/>
                <w:sz w:val="24"/>
                <w:szCs w:val="24"/>
              </w:rPr>
            </w:pPr>
          </w:p>
          <w:p w14:paraId="410C2637" w14:textId="77777777" w:rsidR="008D6A6E" w:rsidRPr="008D6A6E" w:rsidRDefault="008D6A6E" w:rsidP="00DF68A5">
            <w:pPr>
              <w:spacing w:line="276" w:lineRule="auto"/>
              <w:rPr>
                <w:rFonts w:cstheme="minorHAnsi"/>
                <w:sz w:val="24"/>
                <w:szCs w:val="24"/>
              </w:rPr>
            </w:pPr>
          </w:p>
          <w:p w14:paraId="76816A59" w14:textId="77777777" w:rsidR="008D6A6E" w:rsidRPr="008D6A6E" w:rsidRDefault="008D6A6E" w:rsidP="00DF68A5">
            <w:pPr>
              <w:spacing w:line="276" w:lineRule="auto"/>
              <w:rPr>
                <w:rFonts w:cstheme="minorHAnsi"/>
                <w:sz w:val="24"/>
                <w:szCs w:val="24"/>
              </w:rPr>
            </w:pPr>
          </w:p>
          <w:p w14:paraId="7EA4654B" w14:textId="0A22DCE8" w:rsidR="00DF68A5" w:rsidRPr="008D6A6E" w:rsidRDefault="00DF68A5" w:rsidP="00DF68A5">
            <w:pPr>
              <w:spacing w:line="276" w:lineRule="auto"/>
              <w:rPr>
                <w:rFonts w:cstheme="minorHAnsi"/>
                <w:sz w:val="24"/>
                <w:szCs w:val="24"/>
              </w:rPr>
            </w:pPr>
            <w:r w:rsidRPr="008D6A6E">
              <w:rPr>
                <w:rFonts w:cstheme="minorHAnsi"/>
                <w:sz w:val="24"/>
                <w:szCs w:val="24"/>
              </w:rPr>
              <w:t>At publication</w:t>
            </w:r>
          </w:p>
          <w:p w14:paraId="35259D86" w14:textId="77777777" w:rsidR="00DF68A5" w:rsidRPr="008D6A6E" w:rsidRDefault="00DF68A5" w:rsidP="00DF68A5">
            <w:pPr>
              <w:spacing w:line="276" w:lineRule="auto"/>
              <w:rPr>
                <w:rFonts w:cstheme="minorHAnsi"/>
                <w:sz w:val="24"/>
                <w:szCs w:val="24"/>
              </w:rPr>
            </w:pPr>
          </w:p>
          <w:p w14:paraId="77DA4928" w14:textId="77777777" w:rsidR="00DF68A5" w:rsidRPr="008D6A6E" w:rsidRDefault="00DF68A5" w:rsidP="00DF68A5">
            <w:pPr>
              <w:spacing w:line="276" w:lineRule="auto"/>
              <w:rPr>
                <w:rFonts w:cstheme="minorHAnsi"/>
                <w:sz w:val="24"/>
                <w:szCs w:val="24"/>
              </w:rPr>
            </w:pPr>
          </w:p>
          <w:p w14:paraId="6F9D674B" w14:textId="77777777" w:rsidR="008D6A6E" w:rsidRPr="008D6A6E" w:rsidRDefault="008D6A6E" w:rsidP="00DF68A5">
            <w:pPr>
              <w:spacing w:line="276" w:lineRule="auto"/>
              <w:rPr>
                <w:rFonts w:cstheme="minorHAnsi"/>
                <w:sz w:val="24"/>
                <w:szCs w:val="24"/>
              </w:rPr>
            </w:pPr>
          </w:p>
          <w:p w14:paraId="4660E0BD" w14:textId="77777777" w:rsidR="008D6A6E" w:rsidRDefault="008D6A6E" w:rsidP="00DF68A5">
            <w:pPr>
              <w:spacing w:line="276" w:lineRule="auto"/>
              <w:rPr>
                <w:rFonts w:cstheme="minorHAnsi"/>
                <w:sz w:val="24"/>
                <w:szCs w:val="24"/>
              </w:rPr>
            </w:pPr>
          </w:p>
          <w:p w14:paraId="718380DB" w14:textId="753D2928" w:rsidR="00DF68A5" w:rsidRPr="008D6A6E" w:rsidRDefault="00DF68A5" w:rsidP="00DF68A5">
            <w:pPr>
              <w:spacing w:line="276" w:lineRule="auto"/>
              <w:rPr>
                <w:rFonts w:cstheme="minorHAnsi"/>
                <w:sz w:val="24"/>
                <w:szCs w:val="24"/>
              </w:rPr>
            </w:pPr>
            <w:r w:rsidRPr="008D6A6E">
              <w:rPr>
                <w:rFonts w:cstheme="minorHAnsi"/>
                <w:sz w:val="24"/>
                <w:szCs w:val="24"/>
              </w:rPr>
              <w:t>Annually</w:t>
            </w:r>
          </w:p>
          <w:p w14:paraId="7D74D8EE" w14:textId="77777777" w:rsidR="008D6A6E" w:rsidRPr="008D6A6E" w:rsidRDefault="008D6A6E" w:rsidP="00DF68A5">
            <w:pPr>
              <w:spacing w:line="276" w:lineRule="auto"/>
              <w:rPr>
                <w:rFonts w:cstheme="minorHAnsi"/>
                <w:sz w:val="24"/>
                <w:szCs w:val="24"/>
              </w:rPr>
            </w:pPr>
          </w:p>
          <w:p w14:paraId="223FBA55" w14:textId="77777777" w:rsidR="008D6A6E" w:rsidRPr="008D6A6E" w:rsidRDefault="008D6A6E" w:rsidP="00DF68A5">
            <w:pPr>
              <w:spacing w:line="276" w:lineRule="auto"/>
              <w:rPr>
                <w:rFonts w:cstheme="minorHAnsi"/>
                <w:sz w:val="24"/>
                <w:szCs w:val="24"/>
              </w:rPr>
            </w:pPr>
          </w:p>
          <w:p w14:paraId="705BCE57" w14:textId="77777777" w:rsidR="008D6A6E" w:rsidRPr="008D6A6E" w:rsidRDefault="008D6A6E" w:rsidP="00DF68A5">
            <w:pPr>
              <w:spacing w:line="276" w:lineRule="auto"/>
              <w:rPr>
                <w:rFonts w:cstheme="minorHAnsi"/>
                <w:sz w:val="24"/>
                <w:szCs w:val="24"/>
              </w:rPr>
            </w:pPr>
          </w:p>
          <w:p w14:paraId="22205CB8" w14:textId="52E13F0B" w:rsidR="008D6A6E" w:rsidRPr="008D6A6E" w:rsidRDefault="008D6A6E" w:rsidP="00DF68A5">
            <w:pPr>
              <w:spacing w:line="276" w:lineRule="auto"/>
              <w:rPr>
                <w:rFonts w:cstheme="minorHAnsi"/>
                <w:sz w:val="24"/>
                <w:szCs w:val="24"/>
              </w:rPr>
            </w:pPr>
            <w:r w:rsidRPr="008D6A6E">
              <w:rPr>
                <w:rFonts w:cstheme="minorHAnsi"/>
                <w:sz w:val="24"/>
                <w:szCs w:val="24"/>
              </w:rPr>
              <w:t>Annually alongside policy review.</w:t>
            </w:r>
          </w:p>
        </w:tc>
      </w:tr>
    </w:tbl>
    <w:p w14:paraId="469DE385" w14:textId="77777777" w:rsidR="00A7533F" w:rsidRPr="004A4FFD" w:rsidRDefault="00A7533F" w:rsidP="00A7533F">
      <w:pPr>
        <w:spacing w:after="0" w:line="276" w:lineRule="auto"/>
        <w:rPr>
          <w:rFonts w:cstheme="minorHAnsi"/>
        </w:rPr>
      </w:pPr>
    </w:p>
    <w:p w14:paraId="7CFECADB" w14:textId="0F175FF7" w:rsidR="00E322BF" w:rsidRDefault="00E322BF" w:rsidP="00A7533F">
      <w:pPr>
        <w:spacing w:after="0" w:line="276" w:lineRule="auto"/>
        <w:rPr>
          <w:rFonts w:cstheme="minorHAnsi"/>
        </w:rPr>
      </w:pPr>
    </w:p>
    <w:p w14:paraId="0EC92D06" w14:textId="56D0EBB0" w:rsidR="003F5E1F" w:rsidRDefault="003F5E1F" w:rsidP="00A7533F">
      <w:pPr>
        <w:spacing w:after="0" w:line="276" w:lineRule="auto"/>
        <w:rPr>
          <w:rFonts w:cstheme="minorHAnsi"/>
        </w:rPr>
      </w:pPr>
    </w:p>
    <w:p w14:paraId="27EE94BB" w14:textId="06CCA2F4" w:rsidR="003F5E1F" w:rsidRDefault="003F5E1F" w:rsidP="00A7533F">
      <w:pPr>
        <w:spacing w:after="0" w:line="276" w:lineRule="auto"/>
        <w:rPr>
          <w:rFonts w:cstheme="minorHAnsi"/>
        </w:rPr>
      </w:pPr>
    </w:p>
    <w:p w14:paraId="73941605" w14:textId="77777777" w:rsidR="003F5E1F" w:rsidRPr="004A4FFD" w:rsidRDefault="003F5E1F" w:rsidP="00A7533F">
      <w:pPr>
        <w:spacing w:after="0" w:line="276" w:lineRule="auto"/>
        <w:rPr>
          <w:rFonts w:cstheme="minorHAnsi"/>
        </w:rPr>
      </w:pPr>
    </w:p>
    <w:p w14:paraId="39F8948F" w14:textId="77777777" w:rsidR="00E322BF" w:rsidRPr="004A4FFD" w:rsidRDefault="00E322BF" w:rsidP="00A7533F">
      <w:pPr>
        <w:spacing w:after="0" w:line="276" w:lineRule="auto"/>
        <w:rPr>
          <w:rFonts w:cstheme="minorHAnsi"/>
        </w:rPr>
      </w:pPr>
    </w:p>
    <w:tbl>
      <w:tblPr>
        <w:tblStyle w:val="TableGrid"/>
        <w:tblW w:w="0" w:type="auto"/>
        <w:tblLook w:val="04A0" w:firstRow="1" w:lastRow="0" w:firstColumn="1" w:lastColumn="0" w:noHBand="0" w:noVBand="1"/>
      </w:tblPr>
      <w:tblGrid>
        <w:gridCol w:w="13948"/>
      </w:tblGrid>
      <w:tr w:rsidR="00A7533F" w:rsidRPr="004A4FFD" w14:paraId="35647A3F" w14:textId="77777777" w:rsidTr="00743372">
        <w:tc>
          <w:tcPr>
            <w:tcW w:w="13948" w:type="dxa"/>
            <w:shd w:val="clear" w:color="auto" w:fill="F2F2F2" w:themeFill="background1" w:themeFillShade="F2"/>
          </w:tcPr>
          <w:p w14:paraId="322E4D9E" w14:textId="7B89E071" w:rsidR="00A7533F" w:rsidRPr="004A4FFD" w:rsidRDefault="00A7533F" w:rsidP="00A7533F">
            <w:pPr>
              <w:pStyle w:val="ListParagraph"/>
              <w:numPr>
                <w:ilvl w:val="0"/>
                <w:numId w:val="1"/>
              </w:numPr>
              <w:spacing w:line="276" w:lineRule="auto"/>
              <w:rPr>
                <w:rFonts w:cstheme="minorHAnsi"/>
                <w:b/>
                <w:sz w:val="28"/>
              </w:rPr>
            </w:pPr>
            <w:r w:rsidRPr="004A4FFD">
              <w:rPr>
                <w:rFonts w:cstheme="minorHAnsi"/>
                <w:b/>
                <w:sz w:val="28"/>
              </w:rPr>
              <w:lastRenderedPageBreak/>
              <w:t xml:space="preserve">How does the outcome of this assessment and the actions undertaken support </w:t>
            </w:r>
            <w:r w:rsidR="003C314A" w:rsidRPr="004A4FFD">
              <w:rPr>
                <w:rFonts w:cstheme="minorHAnsi"/>
                <w:b/>
                <w:sz w:val="28"/>
              </w:rPr>
              <w:t xml:space="preserve">the </w:t>
            </w:r>
            <w:hyperlink r:id="rId10" w:history="1">
              <w:r w:rsidR="003C314A" w:rsidRPr="004A4FFD">
                <w:rPr>
                  <w:rStyle w:val="Hyperlink"/>
                  <w:rFonts w:cstheme="minorHAnsi"/>
                  <w:b/>
                  <w:sz w:val="28"/>
                </w:rPr>
                <w:t>16 National Equality Outcomes (</w:t>
              </w:r>
              <w:r w:rsidR="00A94DE2" w:rsidRPr="004A4FFD">
                <w:rPr>
                  <w:rStyle w:val="Hyperlink"/>
                  <w:rFonts w:cstheme="minorHAnsi"/>
                  <w:b/>
                  <w:sz w:val="28"/>
                </w:rPr>
                <w:t>NEOs)?</w:t>
              </w:r>
            </w:hyperlink>
          </w:p>
        </w:tc>
      </w:tr>
      <w:tr w:rsidR="00A7533F" w:rsidRPr="004A4FFD" w14:paraId="5CEC2E84" w14:textId="77777777" w:rsidTr="00743372">
        <w:trPr>
          <w:trHeight w:val="2268"/>
        </w:trPr>
        <w:tc>
          <w:tcPr>
            <w:tcW w:w="13948" w:type="dxa"/>
          </w:tcPr>
          <w:p w14:paraId="0962829D" w14:textId="56B35793" w:rsidR="00DF68A5" w:rsidRPr="00DF68A5" w:rsidRDefault="00DF68A5" w:rsidP="00DF68A5">
            <w:pPr>
              <w:spacing w:line="276" w:lineRule="auto"/>
              <w:rPr>
                <w:rFonts w:cstheme="minorHAnsi"/>
                <w:sz w:val="24"/>
                <w:szCs w:val="24"/>
              </w:rPr>
            </w:pPr>
          </w:p>
          <w:p w14:paraId="3339A66F" w14:textId="77777777" w:rsidR="008D6A6E" w:rsidRPr="008D6A6E" w:rsidRDefault="008D6A6E" w:rsidP="00DF68A5">
            <w:pPr>
              <w:numPr>
                <w:ilvl w:val="0"/>
                <w:numId w:val="5"/>
              </w:numPr>
              <w:spacing w:line="276" w:lineRule="auto"/>
              <w:rPr>
                <w:rFonts w:cstheme="minorHAnsi"/>
                <w:sz w:val="28"/>
                <w:szCs w:val="28"/>
              </w:rPr>
            </w:pPr>
            <w:r w:rsidRPr="008D6A6E">
              <w:rPr>
                <w:sz w:val="24"/>
                <w:szCs w:val="24"/>
              </w:rPr>
              <w:t>In particular, the policy contributes to outcomes relating to safe and inclusive learning environments and fair institutional processes.</w:t>
            </w:r>
          </w:p>
          <w:p w14:paraId="6DAD9D78" w14:textId="66610640" w:rsidR="00DF68A5" w:rsidRPr="00DF68A5" w:rsidRDefault="00DF68A5" w:rsidP="00DF68A5">
            <w:pPr>
              <w:numPr>
                <w:ilvl w:val="0"/>
                <w:numId w:val="5"/>
              </w:numPr>
              <w:spacing w:line="276" w:lineRule="auto"/>
              <w:rPr>
                <w:rFonts w:cstheme="minorHAnsi"/>
                <w:sz w:val="24"/>
                <w:szCs w:val="24"/>
              </w:rPr>
            </w:pPr>
            <w:r w:rsidRPr="00DF68A5">
              <w:rPr>
                <w:rFonts w:cstheme="minorHAnsi"/>
                <w:sz w:val="24"/>
                <w:szCs w:val="24"/>
              </w:rPr>
              <w:t>Ensuring protection mechanisms operate equitably</w:t>
            </w:r>
          </w:p>
          <w:p w14:paraId="387EE3FA" w14:textId="77777777" w:rsidR="00DF68A5" w:rsidRPr="00DF68A5" w:rsidRDefault="00DF68A5" w:rsidP="00DF68A5">
            <w:pPr>
              <w:numPr>
                <w:ilvl w:val="0"/>
                <w:numId w:val="5"/>
              </w:numPr>
              <w:spacing w:line="276" w:lineRule="auto"/>
              <w:rPr>
                <w:rFonts w:cstheme="minorHAnsi"/>
                <w:sz w:val="24"/>
                <w:szCs w:val="24"/>
              </w:rPr>
            </w:pPr>
            <w:r w:rsidRPr="00DF68A5">
              <w:rPr>
                <w:rFonts w:cstheme="minorHAnsi"/>
                <w:sz w:val="24"/>
                <w:szCs w:val="24"/>
              </w:rPr>
              <w:t>Strengthening inclusive reporting and accountability structures</w:t>
            </w:r>
          </w:p>
          <w:p w14:paraId="76FCD07F" w14:textId="77777777" w:rsidR="00DF68A5" w:rsidRPr="00DF68A5" w:rsidRDefault="00DF68A5" w:rsidP="00DF68A5">
            <w:pPr>
              <w:numPr>
                <w:ilvl w:val="0"/>
                <w:numId w:val="5"/>
              </w:numPr>
              <w:spacing w:line="276" w:lineRule="auto"/>
              <w:rPr>
                <w:rFonts w:cstheme="minorHAnsi"/>
                <w:sz w:val="24"/>
                <w:szCs w:val="24"/>
              </w:rPr>
            </w:pPr>
            <w:r w:rsidRPr="00DF68A5">
              <w:rPr>
                <w:rFonts w:cstheme="minorHAnsi"/>
                <w:sz w:val="24"/>
                <w:szCs w:val="24"/>
              </w:rPr>
              <w:t>Promoting institutional values aligned with fairness and respect</w:t>
            </w:r>
          </w:p>
          <w:p w14:paraId="6AB2802D" w14:textId="77777777" w:rsidR="00A7533F" w:rsidRPr="004A4FFD" w:rsidRDefault="00A7533F" w:rsidP="00743372">
            <w:pPr>
              <w:spacing w:line="276" w:lineRule="auto"/>
              <w:rPr>
                <w:rFonts w:cstheme="minorHAnsi"/>
              </w:rPr>
            </w:pPr>
          </w:p>
        </w:tc>
      </w:tr>
    </w:tbl>
    <w:p w14:paraId="6BC15491" w14:textId="77777777" w:rsidR="00A7533F" w:rsidRPr="004A4FFD" w:rsidRDefault="00A7533F" w:rsidP="00A7533F">
      <w:pPr>
        <w:spacing w:after="0" w:line="276" w:lineRule="auto"/>
        <w:rPr>
          <w:rFonts w:cstheme="minorHAnsi"/>
        </w:rPr>
      </w:pPr>
    </w:p>
    <w:tbl>
      <w:tblPr>
        <w:tblStyle w:val="TableGrid"/>
        <w:tblW w:w="0" w:type="auto"/>
        <w:tblLook w:val="04A0" w:firstRow="1" w:lastRow="0" w:firstColumn="1" w:lastColumn="0" w:noHBand="0" w:noVBand="1"/>
      </w:tblPr>
      <w:tblGrid>
        <w:gridCol w:w="13948"/>
      </w:tblGrid>
      <w:tr w:rsidR="00A7533F" w:rsidRPr="004A4FFD" w14:paraId="06F16C01" w14:textId="77777777" w:rsidTr="00743372">
        <w:tc>
          <w:tcPr>
            <w:tcW w:w="13948" w:type="dxa"/>
            <w:shd w:val="clear" w:color="auto" w:fill="F2F2F2" w:themeFill="background1" w:themeFillShade="F2"/>
          </w:tcPr>
          <w:p w14:paraId="72D63DFA" w14:textId="77777777" w:rsidR="00A7533F" w:rsidRPr="004A4FFD" w:rsidRDefault="00A7533F" w:rsidP="00A7533F">
            <w:pPr>
              <w:pStyle w:val="ListParagraph"/>
              <w:numPr>
                <w:ilvl w:val="0"/>
                <w:numId w:val="1"/>
              </w:numPr>
              <w:spacing w:line="276" w:lineRule="auto"/>
              <w:rPr>
                <w:rFonts w:cstheme="minorHAnsi"/>
                <w:b/>
                <w:sz w:val="28"/>
              </w:rPr>
            </w:pPr>
            <w:r w:rsidRPr="004A4FFD">
              <w:rPr>
                <w:rFonts w:cstheme="minorHAnsi"/>
                <w:b/>
                <w:sz w:val="28"/>
              </w:rPr>
              <w:t xml:space="preserve">How does the outcome of this assessment and the actions undertaken support the three main duties the Glasgow School of Art has under </w:t>
            </w:r>
            <w:hyperlink r:id="rId11" w:history="1">
              <w:r w:rsidRPr="004A4FFD">
                <w:rPr>
                  <w:rStyle w:val="Hyperlink"/>
                  <w:rFonts w:cstheme="minorHAnsi"/>
                  <w:b/>
                  <w:sz w:val="28"/>
                </w:rPr>
                <w:t>Public Sector Equality Duty</w:t>
              </w:r>
            </w:hyperlink>
            <w:r w:rsidRPr="004A4FFD">
              <w:rPr>
                <w:rFonts w:cstheme="minorHAnsi"/>
                <w:b/>
                <w:sz w:val="28"/>
              </w:rPr>
              <w:t xml:space="preserve"> (underpinned by the </w:t>
            </w:r>
            <w:hyperlink r:id="rId12" w:history="1">
              <w:r w:rsidRPr="004A4FFD">
                <w:rPr>
                  <w:rStyle w:val="Hyperlink"/>
                  <w:rFonts w:cstheme="minorHAnsi"/>
                  <w:b/>
                  <w:sz w:val="28"/>
                </w:rPr>
                <w:t>Equality Act 2010</w:t>
              </w:r>
            </w:hyperlink>
            <w:r w:rsidRPr="004A4FFD">
              <w:rPr>
                <w:rFonts w:cstheme="minorHAnsi"/>
                <w:b/>
                <w:sz w:val="28"/>
              </w:rPr>
              <w:t>) to:</w:t>
            </w:r>
          </w:p>
          <w:p w14:paraId="2014910A" w14:textId="77777777" w:rsidR="00A7533F" w:rsidRPr="004A4FFD" w:rsidRDefault="00A7533F" w:rsidP="00743372">
            <w:pPr>
              <w:pStyle w:val="ListParagraph"/>
              <w:spacing w:line="276" w:lineRule="auto"/>
              <w:ind w:left="340"/>
              <w:rPr>
                <w:rFonts w:cstheme="minorHAnsi"/>
                <w:b/>
                <w:sz w:val="28"/>
              </w:rPr>
            </w:pPr>
          </w:p>
          <w:p w14:paraId="500CF1CA" w14:textId="77777777" w:rsidR="00A7533F" w:rsidRPr="004A4FFD" w:rsidRDefault="00A7533F" w:rsidP="00A7533F">
            <w:pPr>
              <w:pStyle w:val="ListParagraph"/>
              <w:numPr>
                <w:ilvl w:val="0"/>
                <w:numId w:val="2"/>
              </w:numPr>
              <w:spacing w:line="276" w:lineRule="auto"/>
              <w:rPr>
                <w:rFonts w:cstheme="minorHAnsi"/>
                <w:b/>
                <w:sz w:val="28"/>
              </w:rPr>
            </w:pPr>
            <w:r w:rsidRPr="004A4FFD">
              <w:rPr>
                <w:rFonts w:cstheme="minorHAnsi"/>
                <w:b/>
                <w:sz w:val="28"/>
              </w:rPr>
              <w:t>Eliminate discrimination, harassment and victimisation</w:t>
            </w:r>
          </w:p>
          <w:p w14:paraId="1BA4C553" w14:textId="77777777" w:rsidR="00A7533F" w:rsidRPr="004A4FFD" w:rsidRDefault="00A7533F" w:rsidP="00A7533F">
            <w:pPr>
              <w:pStyle w:val="ListParagraph"/>
              <w:numPr>
                <w:ilvl w:val="0"/>
                <w:numId w:val="2"/>
              </w:numPr>
              <w:spacing w:line="276" w:lineRule="auto"/>
              <w:rPr>
                <w:rFonts w:cstheme="minorHAnsi"/>
                <w:b/>
                <w:sz w:val="28"/>
              </w:rPr>
            </w:pPr>
            <w:r w:rsidRPr="004A4FFD">
              <w:rPr>
                <w:rFonts w:cstheme="minorHAnsi"/>
                <w:b/>
                <w:sz w:val="28"/>
              </w:rPr>
              <w:t>Advance equality of opportunity</w:t>
            </w:r>
          </w:p>
          <w:p w14:paraId="1B32CD0F" w14:textId="77777777" w:rsidR="00A7533F" w:rsidRPr="004A4FFD" w:rsidRDefault="00A7533F" w:rsidP="00A7533F">
            <w:pPr>
              <w:pStyle w:val="ListParagraph"/>
              <w:numPr>
                <w:ilvl w:val="0"/>
                <w:numId w:val="2"/>
              </w:numPr>
              <w:spacing w:line="276" w:lineRule="auto"/>
              <w:rPr>
                <w:rFonts w:cstheme="minorHAnsi"/>
                <w:b/>
                <w:sz w:val="28"/>
              </w:rPr>
            </w:pPr>
            <w:r w:rsidRPr="004A4FFD">
              <w:rPr>
                <w:rFonts w:cstheme="minorHAnsi"/>
                <w:b/>
                <w:sz w:val="28"/>
              </w:rPr>
              <w:t>Foster good relations between people who share a relevant protected characteristic and those who do not?</w:t>
            </w:r>
          </w:p>
        </w:tc>
      </w:tr>
      <w:tr w:rsidR="00A7533F" w:rsidRPr="004A4FFD" w14:paraId="1B29ACD9" w14:textId="77777777" w:rsidTr="00743372">
        <w:trPr>
          <w:trHeight w:val="2268"/>
        </w:trPr>
        <w:tc>
          <w:tcPr>
            <w:tcW w:w="13948" w:type="dxa"/>
          </w:tcPr>
          <w:p w14:paraId="7077BF4B" w14:textId="77777777" w:rsidR="00DF68A5" w:rsidRPr="00DF68A5" w:rsidRDefault="00DF68A5" w:rsidP="00DF68A5">
            <w:pPr>
              <w:spacing w:line="276" w:lineRule="auto"/>
              <w:rPr>
                <w:rFonts w:cstheme="minorHAnsi"/>
                <w:b/>
                <w:bCs/>
                <w:sz w:val="24"/>
                <w:szCs w:val="24"/>
              </w:rPr>
            </w:pPr>
            <w:r w:rsidRPr="00DF68A5">
              <w:rPr>
                <w:rFonts w:cstheme="minorHAnsi"/>
                <w:b/>
                <w:bCs/>
                <w:sz w:val="24"/>
                <w:szCs w:val="24"/>
              </w:rPr>
              <w:t>Eliminate discrimination, harassment and victimisation</w:t>
            </w:r>
          </w:p>
          <w:p w14:paraId="3CF29AC1" w14:textId="393376FF" w:rsidR="00DF68A5" w:rsidRDefault="00DF68A5" w:rsidP="00DF68A5">
            <w:pPr>
              <w:spacing w:line="276" w:lineRule="auto"/>
              <w:rPr>
                <w:rFonts w:cstheme="minorHAnsi"/>
                <w:sz w:val="24"/>
                <w:szCs w:val="24"/>
              </w:rPr>
            </w:pPr>
            <w:r w:rsidRPr="00DF68A5">
              <w:rPr>
                <w:rFonts w:cstheme="minorHAnsi"/>
                <w:sz w:val="24"/>
                <w:szCs w:val="24"/>
              </w:rPr>
              <w:t>Clear safeguarding procedures reduce risk of harm and ensure fair, consistent handling of concerns.</w:t>
            </w:r>
          </w:p>
          <w:p w14:paraId="0668F140" w14:textId="56EB8FD1" w:rsidR="008D6A6E" w:rsidRPr="008D6A6E" w:rsidRDefault="008D6A6E" w:rsidP="00DF68A5">
            <w:pPr>
              <w:spacing w:line="276" w:lineRule="auto"/>
              <w:rPr>
                <w:rFonts w:cstheme="minorHAnsi"/>
                <w:sz w:val="28"/>
                <w:szCs w:val="28"/>
              </w:rPr>
            </w:pPr>
            <w:r w:rsidRPr="008D6A6E">
              <w:rPr>
                <w:sz w:val="24"/>
                <w:szCs w:val="24"/>
              </w:rPr>
              <w:t>Training mitigates risk of discriminatory interpretation of behaviours.</w:t>
            </w:r>
          </w:p>
          <w:p w14:paraId="27CC429C" w14:textId="77777777" w:rsidR="004A4FFD" w:rsidRPr="00DF68A5" w:rsidRDefault="004A4FFD" w:rsidP="00DF68A5">
            <w:pPr>
              <w:spacing w:line="276" w:lineRule="auto"/>
              <w:rPr>
                <w:rFonts w:cstheme="minorHAnsi"/>
                <w:sz w:val="24"/>
                <w:szCs w:val="24"/>
              </w:rPr>
            </w:pPr>
          </w:p>
          <w:p w14:paraId="4227B75A" w14:textId="77777777" w:rsidR="00DF68A5" w:rsidRPr="00DF68A5" w:rsidRDefault="00DF68A5" w:rsidP="00DF68A5">
            <w:pPr>
              <w:spacing w:line="276" w:lineRule="auto"/>
              <w:rPr>
                <w:rFonts w:cstheme="minorHAnsi"/>
                <w:b/>
                <w:bCs/>
                <w:sz w:val="24"/>
                <w:szCs w:val="24"/>
              </w:rPr>
            </w:pPr>
            <w:r w:rsidRPr="00DF68A5">
              <w:rPr>
                <w:rFonts w:cstheme="minorHAnsi"/>
                <w:b/>
                <w:bCs/>
                <w:sz w:val="24"/>
                <w:szCs w:val="24"/>
              </w:rPr>
              <w:t>Advance equality of opportunity</w:t>
            </w:r>
          </w:p>
          <w:p w14:paraId="08B1DE5A" w14:textId="62241D95" w:rsidR="00DF68A5" w:rsidRPr="004A4FFD" w:rsidRDefault="00DF68A5" w:rsidP="00DF68A5">
            <w:pPr>
              <w:spacing w:line="276" w:lineRule="auto"/>
              <w:rPr>
                <w:rFonts w:cstheme="minorHAnsi"/>
                <w:sz w:val="24"/>
                <w:szCs w:val="24"/>
              </w:rPr>
            </w:pPr>
            <w:r w:rsidRPr="00DF68A5">
              <w:rPr>
                <w:rFonts w:cstheme="minorHAnsi"/>
                <w:sz w:val="24"/>
                <w:szCs w:val="24"/>
              </w:rPr>
              <w:t>Accessible reporting pathways and defined responsibilities reduce barriers to protection for vulnerable groups.</w:t>
            </w:r>
          </w:p>
          <w:p w14:paraId="1E8FBED6" w14:textId="77777777" w:rsidR="004A4FFD" w:rsidRPr="00DF68A5" w:rsidRDefault="004A4FFD" w:rsidP="00DF68A5">
            <w:pPr>
              <w:spacing w:line="276" w:lineRule="auto"/>
              <w:rPr>
                <w:rFonts w:cstheme="minorHAnsi"/>
                <w:sz w:val="24"/>
                <w:szCs w:val="24"/>
              </w:rPr>
            </w:pPr>
          </w:p>
          <w:p w14:paraId="2AABD054" w14:textId="77777777" w:rsidR="00DF68A5" w:rsidRPr="00DF68A5" w:rsidRDefault="00DF68A5" w:rsidP="00DF68A5">
            <w:pPr>
              <w:spacing w:line="276" w:lineRule="auto"/>
              <w:rPr>
                <w:rFonts w:cstheme="minorHAnsi"/>
                <w:b/>
                <w:bCs/>
                <w:sz w:val="24"/>
                <w:szCs w:val="24"/>
              </w:rPr>
            </w:pPr>
            <w:r w:rsidRPr="00DF68A5">
              <w:rPr>
                <w:rFonts w:cstheme="minorHAnsi"/>
                <w:b/>
                <w:bCs/>
                <w:sz w:val="24"/>
                <w:szCs w:val="24"/>
              </w:rPr>
              <w:t>Foster good relations</w:t>
            </w:r>
          </w:p>
          <w:p w14:paraId="76C914A3" w14:textId="7AAFC18F" w:rsidR="00A7533F" w:rsidRPr="00527FD4" w:rsidRDefault="00DF68A5" w:rsidP="00743372">
            <w:pPr>
              <w:spacing w:line="276" w:lineRule="auto"/>
              <w:rPr>
                <w:rFonts w:cstheme="minorHAnsi"/>
                <w:sz w:val="24"/>
                <w:szCs w:val="24"/>
              </w:rPr>
            </w:pPr>
            <w:r w:rsidRPr="00DF68A5">
              <w:rPr>
                <w:rFonts w:cstheme="minorHAnsi"/>
                <w:sz w:val="24"/>
                <w:szCs w:val="24"/>
              </w:rPr>
              <w:t>Policy alignment with GSA values promotes a culture of respect, accountability and shared responsibility.</w:t>
            </w:r>
          </w:p>
        </w:tc>
      </w:tr>
    </w:tbl>
    <w:p w14:paraId="28D8CF95" w14:textId="77777777" w:rsidR="00A7533F" w:rsidRPr="004A4FFD" w:rsidRDefault="00A7533F" w:rsidP="00A7533F">
      <w:pPr>
        <w:spacing w:after="0" w:line="276" w:lineRule="auto"/>
        <w:rPr>
          <w:rFonts w:cstheme="minorHAnsi"/>
        </w:rPr>
      </w:pPr>
    </w:p>
    <w:tbl>
      <w:tblPr>
        <w:tblStyle w:val="TableGrid"/>
        <w:tblW w:w="0" w:type="auto"/>
        <w:tblLook w:val="04A0" w:firstRow="1" w:lastRow="0" w:firstColumn="1" w:lastColumn="0" w:noHBand="0" w:noVBand="1"/>
      </w:tblPr>
      <w:tblGrid>
        <w:gridCol w:w="13948"/>
      </w:tblGrid>
      <w:tr w:rsidR="00A7533F" w:rsidRPr="004A4FFD" w14:paraId="4328021A" w14:textId="77777777" w:rsidTr="00743372">
        <w:tc>
          <w:tcPr>
            <w:tcW w:w="13948" w:type="dxa"/>
            <w:shd w:val="clear" w:color="auto" w:fill="F2F2F2" w:themeFill="background1" w:themeFillShade="F2"/>
          </w:tcPr>
          <w:p w14:paraId="20A05D4C" w14:textId="77777777" w:rsidR="00A7533F" w:rsidRPr="004A4FFD" w:rsidRDefault="00A7533F" w:rsidP="00A7533F">
            <w:pPr>
              <w:pStyle w:val="ListParagraph"/>
              <w:numPr>
                <w:ilvl w:val="0"/>
                <w:numId w:val="1"/>
              </w:numPr>
              <w:spacing w:line="276" w:lineRule="auto"/>
              <w:rPr>
                <w:rFonts w:cstheme="minorHAnsi"/>
                <w:b/>
                <w:sz w:val="28"/>
              </w:rPr>
            </w:pPr>
            <w:r w:rsidRPr="004A4FFD">
              <w:rPr>
                <w:rFonts w:cstheme="minorHAnsi"/>
                <w:b/>
                <w:sz w:val="28"/>
              </w:rPr>
              <w:t>Where/when will action progress and outcome be reported and reviewed?</w:t>
            </w:r>
          </w:p>
        </w:tc>
      </w:tr>
      <w:tr w:rsidR="00A7533F" w:rsidRPr="004A4FFD" w14:paraId="2FDD8682" w14:textId="77777777" w:rsidTr="004A4FFD">
        <w:trPr>
          <w:trHeight w:val="1408"/>
        </w:trPr>
        <w:tc>
          <w:tcPr>
            <w:tcW w:w="13948" w:type="dxa"/>
          </w:tcPr>
          <w:p w14:paraId="56E43C94" w14:textId="77777777" w:rsidR="004A4FFD" w:rsidRPr="004A4FFD" w:rsidRDefault="004A4FFD" w:rsidP="004A4FFD">
            <w:pPr>
              <w:spacing w:line="276" w:lineRule="auto"/>
              <w:rPr>
                <w:rFonts w:cstheme="minorHAnsi"/>
                <w:sz w:val="24"/>
                <w:szCs w:val="24"/>
              </w:rPr>
            </w:pPr>
            <w:r w:rsidRPr="004A4FFD">
              <w:rPr>
                <w:rFonts w:cstheme="minorHAnsi"/>
                <w:sz w:val="24"/>
                <w:szCs w:val="24"/>
              </w:rPr>
              <w:t>Progress will be reported through:</w:t>
            </w:r>
          </w:p>
          <w:p w14:paraId="0CF4DD33" w14:textId="77777777" w:rsidR="004A4FFD" w:rsidRPr="004A4FFD" w:rsidRDefault="004A4FFD" w:rsidP="004A4FFD">
            <w:pPr>
              <w:numPr>
                <w:ilvl w:val="0"/>
                <w:numId w:val="6"/>
              </w:numPr>
              <w:spacing w:line="276" w:lineRule="auto"/>
              <w:rPr>
                <w:rFonts w:cstheme="minorHAnsi"/>
                <w:sz w:val="24"/>
                <w:szCs w:val="24"/>
              </w:rPr>
            </w:pPr>
            <w:r w:rsidRPr="004A4FFD">
              <w:rPr>
                <w:rFonts w:cstheme="minorHAnsi"/>
                <w:sz w:val="24"/>
                <w:szCs w:val="24"/>
              </w:rPr>
              <w:t>Annual policy review cycle</w:t>
            </w:r>
          </w:p>
          <w:p w14:paraId="28D6A26E" w14:textId="77777777" w:rsidR="004A4FFD" w:rsidRPr="004A4FFD" w:rsidRDefault="004A4FFD" w:rsidP="004A4FFD">
            <w:pPr>
              <w:numPr>
                <w:ilvl w:val="0"/>
                <w:numId w:val="6"/>
              </w:numPr>
              <w:spacing w:line="276" w:lineRule="auto"/>
              <w:rPr>
                <w:rFonts w:cstheme="minorHAnsi"/>
                <w:sz w:val="24"/>
                <w:szCs w:val="24"/>
              </w:rPr>
            </w:pPr>
            <w:r w:rsidRPr="004A4FFD">
              <w:rPr>
                <w:rFonts w:cstheme="minorHAnsi"/>
                <w:sz w:val="24"/>
                <w:szCs w:val="24"/>
              </w:rPr>
              <w:t>HR governance reporting</w:t>
            </w:r>
          </w:p>
          <w:p w14:paraId="70E582F3" w14:textId="054CA9CB" w:rsidR="00A7533F" w:rsidRPr="004A4FFD" w:rsidRDefault="004A4FFD" w:rsidP="004A4FFD">
            <w:pPr>
              <w:numPr>
                <w:ilvl w:val="0"/>
                <w:numId w:val="6"/>
              </w:numPr>
              <w:spacing w:line="276" w:lineRule="auto"/>
              <w:rPr>
                <w:rFonts w:cstheme="minorHAnsi"/>
              </w:rPr>
            </w:pPr>
            <w:r w:rsidRPr="004A4FFD">
              <w:rPr>
                <w:rFonts w:cstheme="minorHAnsi"/>
                <w:sz w:val="24"/>
                <w:szCs w:val="24"/>
              </w:rPr>
              <w:t>Safeguarding oversight mechanisms</w:t>
            </w:r>
          </w:p>
        </w:tc>
      </w:tr>
    </w:tbl>
    <w:p w14:paraId="607E0829" w14:textId="77777777" w:rsidR="00A7533F" w:rsidRPr="004A4FFD" w:rsidRDefault="00A7533F" w:rsidP="00A7533F">
      <w:pPr>
        <w:spacing w:after="0" w:line="276" w:lineRule="auto"/>
        <w:rPr>
          <w:rFonts w:cstheme="minorHAnsi"/>
        </w:rPr>
      </w:pPr>
    </w:p>
    <w:tbl>
      <w:tblPr>
        <w:tblStyle w:val="TableGrid"/>
        <w:tblW w:w="0" w:type="auto"/>
        <w:tblLook w:val="04A0" w:firstRow="1" w:lastRow="0" w:firstColumn="1" w:lastColumn="0" w:noHBand="0" w:noVBand="1"/>
      </w:tblPr>
      <w:tblGrid>
        <w:gridCol w:w="13948"/>
      </w:tblGrid>
      <w:tr w:rsidR="00A7533F" w:rsidRPr="004A4FFD" w14:paraId="0A6BA2CA" w14:textId="77777777" w:rsidTr="00743372">
        <w:tc>
          <w:tcPr>
            <w:tcW w:w="13948" w:type="dxa"/>
            <w:shd w:val="clear" w:color="auto" w:fill="F2F2F2" w:themeFill="background1" w:themeFillShade="F2"/>
          </w:tcPr>
          <w:p w14:paraId="5E0BEC0D" w14:textId="77777777" w:rsidR="00A7533F" w:rsidRPr="004A4FFD" w:rsidRDefault="00A7533F" w:rsidP="00743372">
            <w:pPr>
              <w:spacing w:line="276" w:lineRule="auto"/>
              <w:rPr>
                <w:rFonts w:cstheme="minorHAnsi"/>
                <w:sz w:val="28"/>
              </w:rPr>
            </w:pPr>
            <w:r w:rsidRPr="004A4FFD">
              <w:rPr>
                <w:rFonts w:cstheme="minorHAnsi"/>
                <w:b/>
                <w:sz w:val="28"/>
              </w:rPr>
              <w:t xml:space="preserve">Next review date </w:t>
            </w:r>
            <w:r w:rsidRPr="004A4FFD">
              <w:rPr>
                <w:rFonts w:cstheme="minorHAnsi"/>
                <w:sz w:val="28"/>
              </w:rPr>
              <w:t>– please consider any outstanding actions outlined above; the review period must be in line with the policy/service review and/or at intervals of no more than three years</w:t>
            </w:r>
          </w:p>
        </w:tc>
      </w:tr>
      <w:tr w:rsidR="00A7533F" w:rsidRPr="004A4FFD" w14:paraId="5FC9DBAB" w14:textId="77777777" w:rsidTr="00743372">
        <w:trPr>
          <w:trHeight w:val="1134"/>
        </w:trPr>
        <w:tc>
          <w:tcPr>
            <w:tcW w:w="13948" w:type="dxa"/>
          </w:tcPr>
          <w:p w14:paraId="2801D0C6" w14:textId="77777777" w:rsidR="004A4FFD" w:rsidRPr="004A4FFD" w:rsidRDefault="004A4FFD" w:rsidP="004A4FFD">
            <w:pPr>
              <w:spacing w:line="276" w:lineRule="auto"/>
              <w:rPr>
                <w:rFonts w:cstheme="minorHAnsi"/>
                <w:sz w:val="24"/>
                <w:szCs w:val="24"/>
              </w:rPr>
            </w:pPr>
            <w:r w:rsidRPr="004A4FFD">
              <w:rPr>
                <w:rFonts w:cstheme="minorHAnsi"/>
                <w:b/>
                <w:bCs/>
                <w:sz w:val="24"/>
                <w:szCs w:val="24"/>
              </w:rPr>
              <w:t>No later than November 2028</w:t>
            </w:r>
            <w:r w:rsidRPr="004A4FFD">
              <w:rPr>
                <w:rFonts w:cstheme="minorHAnsi"/>
                <w:sz w:val="24"/>
                <w:szCs w:val="24"/>
              </w:rPr>
              <w:t xml:space="preserve"> (or sooner if legislative change occurs).</w:t>
            </w:r>
          </w:p>
          <w:p w14:paraId="5E50E0B8" w14:textId="77777777" w:rsidR="00A7533F" w:rsidRPr="004A4FFD" w:rsidRDefault="00A7533F" w:rsidP="00743372">
            <w:pPr>
              <w:spacing w:line="276" w:lineRule="auto"/>
              <w:rPr>
                <w:rFonts w:cstheme="minorHAnsi"/>
                <w:b/>
                <w:sz w:val="28"/>
              </w:rPr>
            </w:pPr>
          </w:p>
        </w:tc>
      </w:tr>
    </w:tbl>
    <w:p w14:paraId="5DFD0D61" w14:textId="77777777" w:rsidR="00A7533F" w:rsidRPr="004A4FFD" w:rsidRDefault="00A7533F" w:rsidP="00A7533F">
      <w:pPr>
        <w:spacing w:after="0" w:line="276" w:lineRule="auto"/>
        <w:rPr>
          <w:rFonts w:cstheme="minorHAnsi"/>
          <w:b/>
          <w:sz w:val="28"/>
        </w:rPr>
      </w:pPr>
    </w:p>
    <w:tbl>
      <w:tblPr>
        <w:tblStyle w:val="TableGrid"/>
        <w:tblW w:w="0" w:type="auto"/>
        <w:tblLook w:val="04A0" w:firstRow="1" w:lastRow="0" w:firstColumn="1" w:lastColumn="0" w:noHBand="0" w:noVBand="1"/>
      </w:tblPr>
      <w:tblGrid>
        <w:gridCol w:w="6974"/>
        <w:gridCol w:w="6974"/>
      </w:tblGrid>
      <w:tr w:rsidR="00A7533F" w:rsidRPr="004A4FFD" w14:paraId="0877145F" w14:textId="77777777" w:rsidTr="00743372">
        <w:tc>
          <w:tcPr>
            <w:tcW w:w="6974" w:type="dxa"/>
          </w:tcPr>
          <w:p w14:paraId="46C1EFD3" w14:textId="77777777" w:rsidR="004A4FFD" w:rsidRDefault="00A7533F" w:rsidP="00743372">
            <w:pPr>
              <w:spacing w:line="276" w:lineRule="auto"/>
              <w:rPr>
                <w:rFonts w:cstheme="minorHAnsi"/>
                <w:b/>
                <w:sz w:val="28"/>
              </w:rPr>
            </w:pPr>
            <w:r w:rsidRPr="004A4FFD">
              <w:rPr>
                <w:rFonts w:cstheme="minorHAnsi"/>
                <w:b/>
                <w:sz w:val="28"/>
              </w:rPr>
              <w:t xml:space="preserve">Signed off by Owner/Review Lead </w:t>
            </w:r>
            <w:r w:rsidR="004A4FFD" w:rsidRPr="004A4FFD">
              <w:rPr>
                <w:rFonts w:cstheme="minorHAnsi"/>
                <w:b/>
                <w:sz w:val="28"/>
              </w:rPr>
              <w:t xml:space="preserve">– </w:t>
            </w:r>
          </w:p>
          <w:p w14:paraId="4FF72F68" w14:textId="1C821DE7" w:rsidR="00A7533F" w:rsidRPr="004A4FFD" w:rsidRDefault="004A4FFD" w:rsidP="00743372">
            <w:pPr>
              <w:spacing w:line="276" w:lineRule="auto"/>
              <w:rPr>
                <w:rFonts w:cstheme="minorHAnsi"/>
                <w:sz w:val="28"/>
              </w:rPr>
            </w:pPr>
            <w:r w:rsidRPr="004A4FFD">
              <w:rPr>
                <w:rFonts w:cstheme="minorHAnsi"/>
                <w:b/>
                <w:sz w:val="28"/>
              </w:rPr>
              <w:t>Louise Higgins, HR Manager - Projects</w:t>
            </w:r>
          </w:p>
        </w:tc>
        <w:tc>
          <w:tcPr>
            <w:tcW w:w="6974" w:type="dxa"/>
          </w:tcPr>
          <w:p w14:paraId="58E29B92" w14:textId="53955266" w:rsidR="00A7533F" w:rsidRPr="004A4FFD" w:rsidRDefault="004A4FFD" w:rsidP="00743372">
            <w:pPr>
              <w:spacing w:line="276" w:lineRule="auto"/>
              <w:rPr>
                <w:rFonts w:cstheme="minorHAnsi"/>
                <w:sz w:val="28"/>
              </w:rPr>
            </w:pPr>
            <w:r w:rsidRPr="004A4FFD">
              <w:rPr>
                <w:rFonts w:cstheme="minorHAnsi"/>
                <w:sz w:val="28"/>
              </w:rPr>
              <w:t>19</w:t>
            </w:r>
            <w:r w:rsidRPr="004A4FFD">
              <w:rPr>
                <w:rFonts w:cstheme="minorHAnsi"/>
                <w:sz w:val="28"/>
                <w:vertAlign w:val="superscript"/>
              </w:rPr>
              <w:t>th</w:t>
            </w:r>
            <w:r w:rsidRPr="004A4FFD">
              <w:rPr>
                <w:rFonts w:cstheme="minorHAnsi"/>
                <w:sz w:val="28"/>
              </w:rPr>
              <w:t xml:space="preserve"> February 2026</w:t>
            </w:r>
          </w:p>
        </w:tc>
      </w:tr>
      <w:tr w:rsidR="00A7533F" w:rsidRPr="004A4FFD" w14:paraId="7E671161" w14:textId="77777777" w:rsidTr="00743372">
        <w:tc>
          <w:tcPr>
            <w:tcW w:w="6974" w:type="dxa"/>
          </w:tcPr>
          <w:p w14:paraId="5B553C4E" w14:textId="0AF96DBF" w:rsidR="00A7533F" w:rsidRPr="004A4FFD" w:rsidRDefault="00A7533F" w:rsidP="00743372">
            <w:pPr>
              <w:spacing w:line="276" w:lineRule="auto"/>
              <w:rPr>
                <w:rFonts w:cstheme="minorHAnsi"/>
                <w:sz w:val="28"/>
              </w:rPr>
            </w:pPr>
            <w:r w:rsidRPr="004A4FFD">
              <w:rPr>
                <w:rFonts w:cstheme="minorHAnsi"/>
                <w:b/>
                <w:sz w:val="28"/>
              </w:rPr>
              <w:t xml:space="preserve">Signed off by Executive Lead </w:t>
            </w:r>
            <w:r w:rsidR="00590479">
              <w:rPr>
                <w:rFonts w:cstheme="minorHAnsi"/>
                <w:sz w:val="28"/>
              </w:rPr>
              <w:t>Morag McElhinney, Director of People and Culture</w:t>
            </w:r>
          </w:p>
        </w:tc>
        <w:tc>
          <w:tcPr>
            <w:tcW w:w="6974" w:type="dxa"/>
          </w:tcPr>
          <w:p w14:paraId="6FF75439" w14:textId="379AE621" w:rsidR="00A7533F" w:rsidRPr="004A4FFD" w:rsidRDefault="00590479" w:rsidP="00743372">
            <w:pPr>
              <w:spacing w:line="276" w:lineRule="auto"/>
              <w:rPr>
                <w:rFonts w:cstheme="minorHAnsi"/>
                <w:sz w:val="28"/>
              </w:rPr>
            </w:pPr>
            <w:r>
              <w:rPr>
                <w:rFonts w:cstheme="minorHAnsi"/>
                <w:sz w:val="28"/>
              </w:rPr>
              <w:t>17</w:t>
            </w:r>
            <w:r w:rsidRPr="00590479">
              <w:rPr>
                <w:rFonts w:cstheme="minorHAnsi"/>
                <w:sz w:val="28"/>
                <w:vertAlign w:val="superscript"/>
              </w:rPr>
              <w:t>th</w:t>
            </w:r>
            <w:r>
              <w:rPr>
                <w:rFonts w:cstheme="minorHAnsi"/>
                <w:sz w:val="28"/>
              </w:rPr>
              <w:t xml:space="preserve"> March 2026</w:t>
            </w:r>
          </w:p>
        </w:tc>
      </w:tr>
      <w:tr w:rsidR="00A7533F" w:rsidRPr="004A4FFD" w14:paraId="74BAC4B6" w14:textId="77777777" w:rsidTr="00743372">
        <w:tc>
          <w:tcPr>
            <w:tcW w:w="6974" w:type="dxa"/>
          </w:tcPr>
          <w:p w14:paraId="5312AE0C" w14:textId="44273750" w:rsidR="00A7533F" w:rsidRPr="000E21C5" w:rsidRDefault="00A7533F" w:rsidP="00743372">
            <w:pPr>
              <w:spacing w:line="276" w:lineRule="auto"/>
              <w:rPr>
                <w:rFonts w:cstheme="minorHAnsi"/>
                <w:bCs/>
                <w:sz w:val="28"/>
              </w:rPr>
            </w:pPr>
            <w:r w:rsidRPr="004A4FFD">
              <w:rPr>
                <w:rFonts w:cstheme="minorHAnsi"/>
                <w:b/>
                <w:sz w:val="28"/>
              </w:rPr>
              <w:t xml:space="preserve">Signed off by Equality Lead </w:t>
            </w:r>
            <w:r w:rsidR="000E21C5">
              <w:rPr>
                <w:rFonts w:cstheme="minorHAnsi"/>
                <w:bCs/>
                <w:sz w:val="28"/>
              </w:rPr>
              <w:t>Ceit Mackintosh, Equality Officer</w:t>
            </w:r>
          </w:p>
        </w:tc>
        <w:tc>
          <w:tcPr>
            <w:tcW w:w="6974" w:type="dxa"/>
          </w:tcPr>
          <w:p w14:paraId="0EABED49" w14:textId="29F34B98" w:rsidR="00A7533F" w:rsidRPr="004A4FFD" w:rsidRDefault="000E21C5" w:rsidP="00743372">
            <w:pPr>
              <w:spacing w:line="276" w:lineRule="auto"/>
              <w:rPr>
                <w:rFonts w:cstheme="minorHAnsi"/>
                <w:sz w:val="28"/>
              </w:rPr>
            </w:pPr>
            <w:r>
              <w:rPr>
                <w:rFonts w:cstheme="minorHAnsi"/>
                <w:sz w:val="28"/>
              </w:rPr>
              <w:t>23/02/2026</w:t>
            </w:r>
          </w:p>
        </w:tc>
      </w:tr>
    </w:tbl>
    <w:p w14:paraId="2F3044C8" w14:textId="77777777" w:rsidR="00A7533F" w:rsidRDefault="00A7533F"/>
    <w:sectPr w:rsidR="00A7533F" w:rsidSect="00A7533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6EB8"/>
    <w:multiLevelType w:val="multilevel"/>
    <w:tmpl w:val="A4C4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77B9C"/>
    <w:multiLevelType w:val="hybridMultilevel"/>
    <w:tmpl w:val="ACFEF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392B5C"/>
    <w:multiLevelType w:val="multilevel"/>
    <w:tmpl w:val="5AFE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DF6E5E"/>
    <w:multiLevelType w:val="hybridMultilevel"/>
    <w:tmpl w:val="A79C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84638F"/>
    <w:multiLevelType w:val="hybridMultilevel"/>
    <w:tmpl w:val="6F0A521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55CA6000"/>
    <w:multiLevelType w:val="hybridMultilevel"/>
    <w:tmpl w:val="82380690"/>
    <w:lvl w:ilvl="0" w:tplc="099E35D0">
      <w:start w:val="1"/>
      <w:numFmt w:val="decimal"/>
      <w:lvlText w:val="%1."/>
      <w:lvlJc w:val="left"/>
      <w:pPr>
        <w:ind w:left="340" w:hanging="34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A1393E"/>
    <w:multiLevelType w:val="multilevel"/>
    <w:tmpl w:val="728E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663136"/>
    <w:multiLevelType w:val="multilevel"/>
    <w:tmpl w:val="56264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3"/>
  </w:num>
  <w:num w:numId="5">
    <w:abstractNumId w:val="2"/>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33F"/>
    <w:rsid w:val="000E21C5"/>
    <w:rsid w:val="0010724E"/>
    <w:rsid w:val="003B0E67"/>
    <w:rsid w:val="003C314A"/>
    <w:rsid w:val="003F5E1F"/>
    <w:rsid w:val="004815B4"/>
    <w:rsid w:val="004A4FFD"/>
    <w:rsid w:val="00527FD4"/>
    <w:rsid w:val="00590479"/>
    <w:rsid w:val="00762251"/>
    <w:rsid w:val="008D6A6E"/>
    <w:rsid w:val="00A22401"/>
    <w:rsid w:val="00A7533F"/>
    <w:rsid w:val="00A8036B"/>
    <w:rsid w:val="00A94DE2"/>
    <w:rsid w:val="00AC3540"/>
    <w:rsid w:val="00AD4BE3"/>
    <w:rsid w:val="00CA1249"/>
    <w:rsid w:val="00D10310"/>
    <w:rsid w:val="00DF68A5"/>
    <w:rsid w:val="00E322BF"/>
    <w:rsid w:val="00E61425"/>
    <w:rsid w:val="00EE0E9B"/>
    <w:rsid w:val="00FC1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14A13"/>
  <w15:chartTrackingRefBased/>
  <w15:docId w15:val="{5ED943AA-83F0-4721-A566-7E3DDA9B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33F"/>
    <w:rPr>
      <w:color w:val="0563C1" w:themeColor="hyperlink"/>
      <w:u w:val="single"/>
    </w:rPr>
  </w:style>
  <w:style w:type="table" w:styleId="TableGrid">
    <w:name w:val="Table Grid"/>
    <w:basedOn w:val="TableNormal"/>
    <w:uiPriority w:val="39"/>
    <w:rsid w:val="00A75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33F"/>
    <w:pPr>
      <w:ind w:left="720"/>
      <w:contextualSpacing/>
    </w:pPr>
  </w:style>
  <w:style w:type="character" w:styleId="CommentReference">
    <w:name w:val="annotation reference"/>
    <w:basedOn w:val="DefaultParagraphFont"/>
    <w:uiPriority w:val="99"/>
    <w:semiHidden/>
    <w:unhideWhenUsed/>
    <w:rsid w:val="00A7533F"/>
    <w:rPr>
      <w:sz w:val="16"/>
      <w:szCs w:val="16"/>
    </w:rPr>
  </w:style>
  <w:style w:type="paragraph" w:styleId="CommentText">
    <w:name w:val="annotation text"/>
    <w:basedOn w:val="Normal"/>
    <w:link w:val="CommentTextChar"/>
    <w:uiPriority w:val="99"/>
    <w:semiHidden/>
    <w:unhideWhenUsed/>
    <w:rsid w:val="00A7533F"/>
    <w:pPr>
      <w:spacing w:line="240" w:lineRule="auto"/>
    </w:pPr>
    <w:rPr>
      <w:sz w:val="20"/>
      <w:szCs w:val="20"/>
    </w:rPr>
  </w:style>
  <w:style w:type="character" w:customStyle="1" w:styleId="CommentTextChar">
    <w:name w:val="Comment Text Char"/>
    <w:basedOn w:val="DefaultParagraphFont"/>
    <w:link w:val="CommentText"/>
    <w:uiPriority w:val="99"/>
    <w:semiHidden/>
    <w:rsid w:val="00A7533F"/>
    <w:rPr>
      <w:sz w:val="20"/>
      <w:szCs w:val="20"/>
    </w:rPr>
  </w:style>
  <w:style w:type="paragraph" w:styleId="BalloonText">
    <w:name w:val="Balloon Text"/>
    <w:basedOn w:val="Normal"/>
    <w:link w:val="BalloonTextChar"/>
    <w:uiPriority w:val="99"/>
    <w:semiHidden/>
    <w:unhideWhenUsed/>
    <w:rsid w:val="00A753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33F"/>
    <w:rPr>
      <w:rFonts w:ascii="Segoe UI" w:hAnsi="Segoe UI" w:cs="Segoe UI"/>
      <w:sz w:val="18"/>
      <w:szCs w:val="18"/>
    </w:rPr>
  </w:style>
  <w:style w:type="character" w:styleId="UnresolvedMention">
    <w:name w:val="Unresolved Mention"/>
    <w:basedOn w:val="DefaultParagraphFont"/>
    <w:uiPriority w:val="99"/>
    <w:semiHidden/>
    <w:unhideWhenUsed/>
    <w:rsid w:val="00A94DE2"/>
    <w:rPr>
      <w:color w:val="605E5C"/>
      <w:shd w:val="clear" w:color="auto" w:fill="E1DFDD"/>
    </w:rPr>
  </w:style>
  <w:style w:type="paragraph" w:styleId="NormalWeb">
    <w:name w:val="Normal (Web)"/>
    <w:basedOn w:val="Normal"/>
    <w:uiPriority w:val="99"/>
    <w:unhideWhenUsed/>
    <w:rsid w:val="00DF68A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59945">
      <w:bodyDiv w:val="1"/>
      <w:marLeft w:val="0"/>
      <w:marRight w:val="0"/>
      <w:marTop w:val="0"/>
      <w:marBottom w:val="0"/>
      <w:divBdr>
        <w:top w:val="none" w:sz="0" w:space="0" w:color="auto"/>
        <w:left w:val="none" w:sz="0" w:space="0" w:color="auto"/>
        <w:bottom w:val="none" w:sz="0" w:space="0" w:color="auto"/>
        <w:right w:val="none" w:sz="0" w:space="0" w:color="auto"/>
      </w:divBdr>
    </w:div>
    <w:div w:id="733502005">
      <w:bodyDiv w:val="1"/>
      <w:marLeft w:val="0"/>
      <w:marRight w:val="0"/>
      <w:marTop w:val="0"/>
      <w:marBottom w:val="0"/>
      <w:divBdr>
        <w:top w:val="none" w:sz="0" w:space="0" w:color="auto"/>
        <w:left w:val="none" w:sz="0" w:space="0" w:color="auto"/>
        <w:bottom w:val="none" w:sz="0" w:space="0" w:color="auto"/>
        <w:right w:val="none" w:sz="0" w:space="0" w:color="auto"/>
      </w:divBdr>
    </w:div>
    <w:div w:id="773284692">
      <w:bodyDiv w:val="1"/>
      <w:marLeft w:val="0"/>
      <w:marRight w:val="0"/>
      <w:marTop w:val="0"/>
      <w:marBottom w:val="0"/>
      <w:divBdr>
        <w:top w:val="none" w:sz="0" w:space="0" w:color="auto"/>
        <w:left w:val="none" w:sz="0" w:space="0" w:color="auto"/>
        <w:bottom w:val="none" w:sz="0" w:space="0" w:color="auto"/>
        <w:right w:val="none" w:sz="0" w:space="0" w:color="auto"/>
      </w:divBdr>
    </w:div>
    <w:div w:id="804008759">
      <w:bodyDiv w:val="1"/>
      <w:marLeft w:val="0"/>
      <w:marRight w:val="0"/>
      <w:marTop w:val="0"/>
      <w:marBottom w:val="0"/>
      <w:divBdr>
        <w:top w:val="none" w:sz="0" w:space="0" w:color="auto"/>
        <w:left w:val="none" w:sz="0" w:space="0" w:color="auto"/>
        <w:bottom w:val="none" w:sz="0" w:space="0" w:color="auto"/>
        <w:right w:val="none" w:sz="0" w:space="0" w:color="auto"/>
      </w:divBdr>
    </w:div>
    <w:div w:id="849218337">
      <w:bodyDiv w:val="1"/>
      <w:marLeft w:val="0"/>
      <w:marRight w:val="0"/>
      <w:marTop w:val="0"/>
      <w:marBottom w:val="0"/>
      <w:divBdr>
        <w:top w:val="none" w:sz="0" w:space="0" w:color="auto"/>
        <w:left w:val="none" w:sz="0" w:space="0" w:color="auto"/>
        <w:bottom w:val="none" w:sz="0" w:space="0" w:color="auto"/>
        <w:right w:val="none" w:sz="0" w:space="0" w:color="auto"/>
      </w:divBdr>
    </w:div>
    <w:div w:id="976840078">
      <w:bodyDiv w:val="1"/>
      <w:marLeft w:val="0"/>
      <w:marRight w:val="0"/>
      <w:marTop w:val="0"/>
      <w:marBottom w:val="0"/>
      <w:divBdr>
        <w:top w:val="none" w:sz="0" w:space="0" w:color="auto"/>
        <w:left w:val="none" w:sz="0" w:space="0" w:color="auto"/>
        <w:bottom w:val="none" w:sz="0" w:space="0" w:color="auto"/>
        <w:right w:val="none" w:sz="0" w:space="0" w:color="auto"/>
      </w:divBdr>
    </w:div>
    <w:div w:id="1203402106">
      <w:bodyDiv w:val="1"/>
      <w:marLeft w:val="0"/>
      <w:marRight w:val="0"/>
      <w:marTop w:val="0"/>
      <w:marBottom w:val="0"/>
      <w:divBdr>
        <w:top w:val="none" w:sz="0" w:space="0" w:color="auto"/>
        <w:left w:val="none" w:sz="0" w:space="0" w:color="auto"/>
        <w:bottom w:val="none" w:sz="0" w:space="0" w:color="auto"/>
        <w:right w:val="none" w:sz="0" w:space="0" w:color="auto"/>
      </w:divBdr>
    </w:div>
    <w:div w:id="1429080596">
      <w:bodyDiv w:val="1"/>
      <w:marLeft w:val="0"/>
      <w:marRight w:val="0"/>
      <w:marTop w:val="0"/>
      <w:marBottom w:val="0"/>
      <w:divBdr>
        <w:top w:val="none" w:sz="0" w:space="0" w:color="auto"/>
        <w:left w:val="none" w:sz="0" w:space="0" w:color="auto"/>
        <w:bottom w:val="none" w:sz="0" w:space="0" w:color="auto"/>
        <w:right w:val="none" w:sz="0" w:space="0" w:color="auto"/>
      </w:divBdr>
    </w:div>
    <w:div w:id="1630361478">
      <w:bodyDiv w:val="1"/>
      <w:marLeft w:val="0"/>
      <w:marRight w:val="0"/>
      <w:marTop w:val="0"/>
      <w:marBottom w:val="0"/>
      <w:divBdr>
        <w:top w:val="none" w:sz="0" w:space="0" w:color="auto"/>
        <w:left w:val="none" w:sz="0" w:space="0" w:color="auto"/>
        <w:bottom w:val="none" w:sz="0" w:space="0" w:color="auto"/>
        <w:right w:val="none" w:sz="0" w:space="0" w:color="auto"/>
      </w:divBdr>
    </w:div>
    <w:div w:id="201569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uk/ukpga/2010/15/cont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ublic-sector-equality-duty-guidance-for-public-authorities/public-sector-equality-duty-guidance-for-public-authorities" TargetMode="External"/><Relationship Id="rId5" Type="http://schemas.openxmlformats.org/officeDocument/2006/relationships/styles" Target="styles.xml"/><Relationship Id="rId10" Type="http://schemas.openxmlformats.org/officeDocument/2006/relationships/hyperlink" Target="https://www.sfc.ac.uk/wp-content/uploads/uploadedFiles/Tackling_persistent_inequalities_together.pdf" TargetMode="External"/><Relationship Id="rId4" Type="http://schemas.openxmlformats.org/officeDocument/2006/relationships/numbering" Target="numbering.xml"/><Relationship Id="rId9" Type="http://schemas.openxmlformats.org/officeDocument/2006/relationships/hyperlink" Target="mailto:equality@gsa.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459d18-bf93-482b-87d8-e838ec1479de" xsi:nil="true"/>
    <PublishingExpirationDate xmlns="http://schemas.microsoft.com/sharepoint/v3" xsi:nil="true"/>
    <PublishingStartDate xmlns="http://schemas.microsoft.com/sharepoint/v3" xsi:nil="true"/>
    <wic_System_Copyright xmlns="http://schemas.microsoft.com/sharepoint/v3/fields" xsi:nil="true"/>
    <ImageCreateDate xmlns="BCEE470A-117F-4EC2-87C8-FFC689E703F2" xsi:nil="true"/>
    <lcf76f155ced4ddcb4097134ff3c332f xmlns="bcee470a-117f-4ec2-87c8-ffc689e703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C19876A0D16854EB4CF246D01C6B0DC" ma:contentTypeVersion="15" ma:contentTypeDescription="Upload an image." ma:contentTypeScope="" ma:versionID="f1a52f79a54ac1e0893b95e0c2ab50f4">
  <xsd:schema xmlns:xsd="http://www.w3.org/2001/XMLSchema" xmlns:xs="http://www.w3.org/2001/XMLSchema" xmlns:p="http://schemas.microsoft.com/office/2006/metadata/properties" xmlns:ns1="http://schemas.microsoft.com/sharepoint/v3" xmlns:ns2="BCEE470A-117F-4EC2-87C8-FFC689E703F2" xmlns:ns3="http://schemas.microsoft.com/sharepoint/v3/fields" xmlns:ns4="bcee470a-117f-4ec2-87c8-ffc689e703f2" xmlns:ns5="dd459d18-bf93-482b-87d8-e838ec1479de" targetNamespace="http://schemas.microsoft.com/office/2006/metadata/properties" ma:root="true" ma:fieldsID="bc864ba38b3b3032662bdbd3c8bb369a" ns1:_="" ns2:_="" ns3:_="" ns4:_="" ns5:_="">
    <xsd:import namespace="http://schemas.microsoft.com/sharepoint/v3"/>
    <xsd:import namespace="BCEE470A-117F-4EC2-87C8-FFC689E703F2"/>
    <xsd:import namespace="http://schemas.microsoft.com/sharepoint/v3/fields"/>
    <xsd:import namespace="bcee470a-117f-4ec2-87c8-ffc689e703f2"/>
    <xsd:import namespace="dd459d18-bf93-482b-87d8-e838ec1479de"/>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MediaServiceMetadata" minOccurs="0"/>
                <xsd:element ref="ns4:MediaServiceFastMetadata" minOccurs="0"/>
                <xsd:element ref="ns4:lcf76f155ced4ddcb4097134ff3c332f" minOccurs="0"/>
                <xsd:element ref="ns5:TaxCatchAll" minOccurs="0"/>
                <xsd:element ref="ns4:MediaServiceGenerationTime" minOccurs="0"/>
                <xsd:element ref="ns4:MediaServiceEventHashCode" minOccurs="0"/>
                <xsd:element ref="ns4:MediaServiceObjectDetectorVersions" minOccurs="0"/>
                <xsd:element ref="ns4:MediaServiceDateTaken" minOccurs="0"/>
                <xsd:element ref="ns4:MediaServiceOC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ma:readOnly="false">
      <xsd:simpleType>
        <xsd:restriction base="dms:Unknown"/>
      </xsd:simpleType>
    </xsd:element>
    <xsd:element name="PublishingExpirationDate" ma:index="28" nillable="true" ma:displayName="Scheduling End Date" ma:description=""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E470A-117F-4EC2-87C8-FFC689E703F2"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e470a-117f-4ec2-87c8-ffc689e703f2"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fd13a8cc-cbab-4a25-bdc7-c65b55aa6055" ma:termSetId="09814cd3-568e-fe90-9814-8d621ff8fb84" ma:anchorId="fba54fb3-c3e1-fe81-a776-ca4b69148c4d" ma:open="true" ma:isKeyword="false">
      <xsd:complexType>
        <xsd:sequence>
          <xsd:element ref="pc:Terms" minOccurs="0" maxOccurs="1"/>
        </xsd:sequence>
      </xsd:complex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459d18-bf93-482b-87d8-e838ec1479de"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5b8a1257-4749-42be-8625-cbd56b5d84db}" ma:internalName="TaxCatchAll" ma:showField="CatchAllData" ma:web="dd459d18-bf93-482b-87d8-e838ec147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447A8-4CA0-4054-94FF-352B3DC44754}">
  <ds:schemaRefs>
    <ds:schemaRef ds:uri="http://schemas.microsoft.com/office/2006/metadata/properties"/>
    <ds:schemaRef ds:uri="http://schemas.microsoft.com/office/infopath/2007/PartnerControls"/>
    <ds:schemaRef ds:uri="dd459d18-bf93-482b-87d8-e838ec1479de"/>
    <ds:schemaRef ds:uri="http://schemas.microsoft.com/sharepoint/v3"/>
    <ds:schemaRef ds:uri="http://schemas.microsoft.com/sharepoint/v3/fields"/>
    <ds:schemaRef ds:uri="BCEE470A-117F-4EC2-87C8-FFC689E703F2"/>
    <ds:schemaRef ds:uri="bcee470a-117f-4ec2-87c8-ffc689e703f2"/>
  </ds:schemaRefs>
</ds:datastoreItem>
</file>

<file path=customXml/itemProps2.xml><?xml version="1.0" encoding="utf-8"?>
<ds:datastoreItem xmlns:ds="http://schemas.openxmlformats.org/officeDocument/2006/customXml" ds:itemID="{DCC62C44-A845-4ED9-9608-164301713416}">
  <ds:schemaRefs>
    <ds:schemaRef ds:uri="http://schemas.microsoft.com/sharepoint/v3/contenttype/forms"/>
  </ds:schemaRefs>
</ds:datastoreItem>
</file>

<file path=customXml/itemProps3.xml><?xml version="1.0" encoding="utf-8"?>
<ds:datastoreItem xmlns:ds="http://schemas.openxmlformats.org/officeDocument/2006/customXml" ds:itemID="{3AFB0E3F-EC7B-455D-BA01-E7DC27860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EE470A-117F-4EC2-87C8-FFC689E703F2"/>
    <ds:schemaRef ds:uri="http://schemas.microsoft.com/sharepoint/v3/fields"/>
    <ds:schemaRef ds:uri="bcee470a-117f-4ec2-87c8-ffc689e703f2"/>
    <ds:schemaRef ds:uri="dd459d18-bf93-482b-87d8-e838ec147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1452</Words>
  <Characters>8281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Equality Impact Assessment Form</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 Form</dc:title>
  <dc:subject/>
  <dc:creator>Mackintosh, Ceit</dc:creator>
  <cp:keywords>Equality Impact Assessment, EqIA, EIA, EDI</cp:keywords>
  <dc:description/>
  <cp:lastModifiedBy>Mackintosh, Ceit</cp:lastModifiedBy>
  <cp:revision>2</cp:revision>
  <dcterms:created xsi:type="dcterms:W3CDTF">2026-03-25T09:49:00Z</dcterms:created>
  <dcterms:modified xsi:type="dcterms:W3CDTF">2026-03-25T09:49:00Z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0x0101009148F5A04DDD49CBA7127AADA5FB792B00AADE34325A8B49CDA8BB4DB53328F21400BC19876A0D16854EB4CF246D01C6B0DC</vt:lpwstr>
  </property>
  <property fmtid="{D5CDD505-2E9C-101B-9397-08002B2CF9AE}" pid="3" name="MediaServiceImageTags">
    <vt:lpwstr/>
  </property>
</Properties>
</file>